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779"/>
        <w:gridCol w:w="114"/>
      </w:tblGrid>
      <w:tr w:rsidR="008348DC" w:rsidRPr="0067151B" w:rsidTr="005D423B">
        <w:trPr>
          <w:trHeight w:val="999"/>
        </w:trPr>
        <w:tc>
          <w:tcPr>
            <w:tcW w:w="9690" w:type="dxa"/>
            <w:gridSpan w:val="5"/>
            <w:vAlign w:val="center"/>
          </w:tcPr>
          <w:p w:rsidR="008348DC" w:rsidRPr="002D269E" w:rsidRDefault="008348DC" w:rsidP="005D423B">
            <w:pPr>
              <w:spacing w:after="0" w:line="240" w:lineRule="auto"/>
              <w:jc w:val="center"/>
              <w:rPr>
                <w:rFonts w:ascii="Times New Roman" w:eastAsia="Calibri" w:hAnsi="Times New Roman" w:cs="Times New Roman"/>
                <w:sz w:val="24"/>
                <w:szCs w:val="24"/>
              </w:rPr>
            </w:pPr>
            <w:r w:rsidRPr="002D269E">
              <w:rPr>
                <w:rFonts w:ascii="Times New Roman" w:eastAsia="Calibri" w:hAnsi="Times New Roman" w:cs="Times New Roman"/>
                <w:sz w:val="24"/>
                <w:szCs w:val="24"/>
              </w:rPr>
              <w:t>РОССИЙСКАЯ ФЕДЕРАЦИЯ</w:t>
            </w:r>
          </w:p>
          <w:p w:rsidR="008348DC" w:rsidRPr="00A8520F" w:rsidRDefault="008348DC" w:rsidP="005D423B">
            <w:pPr>
              <w:spacing w:after="0" w:line="240" w:lineRule="auto"/>
              <w:jc w:val="center"/>
              <w:rPr>
                <w:rFonts w:ascii="Times New Roman" w:eastAsia="Calibri" w:hAnsi="Times New Roman" w:cs="Times New Roman"/>
                <w:b/>
                <w:sz w:val="24"/>
                <w:szCs w:val="24"/>
              </w:rPr>
            </w:pPr>
            <w:r w:rsidRPr="00A8520F">
              <w:rPr>
                <w:rFonts w:ascii="Times New Roman" w:eastAsia="Calibri" w:hAnsi="Times New Roman" w:cs="Times New Roman"/>
                <w:b/>
                <w:sz w:val="24"/>
                <w:szCs w:val="24"/>
              </w:rPr>
              <w:t>НИКОЛО-АЛЕКСАНДРОВСКИЙ СЕЛЬСКИЙ СОВЕТ НАРОДНЫХ ДЕПУТАТОВ</w:t>
            </w:r>
          </w:p>
          <w:p w:rsidR="008348DC" w:rsidRPr="00A8520F" w:rsidRDefault="008348DC" w:rsidP="005D42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ОКТЯБРЬСКОГО РАЙОНА </w:t>
            </w:r>
            <w:r w:rsidRPr="00A8520F">
              <w:rPr>
                <w:rFonts w:ascii="Times New Roman" w:eastAsia="Calibri" w:hAnsi="Times New Roman" w:cs="Times New Roman"/>
                <w:b/>
                <w:sz w:val="24"/>
                <w:szCs w:val="24"/>
              </w:rPr>
              <w:t>АМУРСКОЙ ОБЛАСТИ</w:t>
            </w:r>
          </w:p>
          <w:p w:rsidR="008348DC" w:rsidRPr="0067151B" w:rsidRDefault="008348DC" w:rsidP="005D423B">
            <w:pPr>
              <w:spacing w:after="20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roofErr w:type="gramStart"/>
            <w:r w:rsidRPr="00A8520F">
              <w:rPr>
                <w:rFonts w:ascii="Times New Roman" w:eastAsia="Calibri" w:hAnsi="Times New Roman" w:cs="Times New Roman"/>
                <w:b/>
                <w:sz w:val="28"/>
                <w:szCs w:val="28"/>
              </w:rPr>
              <w:t>шестой</w:t>
            </w:r>
            <w:proofErr w:type="gramEnd"/>
            <w:r w:rsidRPr="00A8520F">
              <w:rPr>
                <w:rFonts w:ascii="Times New Roman" w:eastAsia="Calibri" w:hAnsi="Times New Roman" w:cs="Times New Roman"/>
                <w:b/>
                <w:sz w:val="28"/>
                <w:szCs w:val="28"/>
              </w:rPr>
              <w:t xml:space="preserve"> созыв)</w:t>
            </w:r>
          </w:p>
        </w:tc>
      </w:tr>
      <w:tr w:rsidR="008348DC" w:rsidRPr="0057425E" w:rsidTr="005D423B">
        <w:trPr>
          <w:trHeight w:val="645"/>
        </w:trPr>
        <w:tc>
          <w:tcPr>
            <w:tcW w:w="9690" w:type="dxa"/>
            <w:gridSpan w:val="5"/>
          </w:tcPr>
          <w:p w:rsidR="008348DC" w:rsidRPr="0057425E" w:rsidRDefault="008348DC" w:rsidP="005D423B">
            <w:pPr>
              <w:spacing w:after="0" w:line="240" w:lineRule="auto"/>
              <w:jc w:val="center"/>
              <w:rPr>
                <w:rFonts w:ascii="Times New Roman" w:eastAsia="Times New Roman" w:hAnsi="Times New Roman" w:cs="Times New Roman"/>
                <w:sz w:val="6"/>
                <w:szCs w:val="20"/>
                <w:lang w:eastAsia="ru-RU"/>
              </w:rPr>
            </w:pPr>
          </w:p>
          <w:p w:rsidR="008348DC" w:rsidRPr="002D269E" w:rsidRDefault="008348DC" w:rsidP="005D423B">
            <w:pPr>
              <w:spacing w:after="200" w:line="240" w:lineRule="auto"/>
              <w:jc w:val="center"/>
              <w:rPr>
                <w:rFonts w:ascii="Times New Roman" w:eastAsia="Calibri" w:hAnsi="Times New Roman" w:cs="Times New Roman"/>
                <w:b/>
                <w:sz w:val="24"/>
                <w:szCs w:val="24"/>
              </w:rPr>
            </w:pPr>
            <w:r w:rsidRPr="002D269E">
              <w:rPr>
                <w:rFonts w:ascii="Times New Roman" w:eastAsia="Calibri" w:hAnsi="Times New Roman" w:cs="Times New Roman"/>
                <w:b/>
                <w:sz w:val="24"/>
                <w:szCs w:val="24"/>
              </w:rPr>
              <w:t xml:space="preserve">РЕШЕНИЕ  </w:t>
            </w:r>
          </w:p>
          <w:p w:rsidR="008348DC" w:rsidRPr="0057425E" w:rsidRDefault="008348DC" w:rsidP="005D423B">
            <w:pPr>
              <w:spacing w:after="0"/>
              <w:rPr>
                <w:rFonts w:ascii="Times New Roman" w:eastAsia="Times New Roman" w:hAnsi="Times New Roman" w:cs="Times New Roman"/>
                <w:b/>
                <w:snapToGrid w:val="0"/>
                <w:sz w:val="10"/>
                <w:szCs w:val="20"/>
                <w:lang w:eastAsia="ru-RU"/>
              </w:rPr>
            </w:pPr>
          </w:p>
        </w:tc>
      </w:tr>
      <w:tr w:rsidR="008348DC" w:rsidRPr="0057425E" w:rsidTr="005D423B">
        <w:trPr>
          <w:trHeight w:val="369"/>
        </w:trPr>
        <w:tc>
          <w:tcPr>
            <w:tcW w:w="180" w:type="dxa"/>
            <w:vAlign w:val="bottom"/>
          </w:tcPr>
          <w:p w:rsidR="008348DC" w:rsidRPr="0057425E" w:rsidRDefault="008348DC" w:rsidP="005D423B">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797" w:type="dxa"/>
            <w:tcBorders>
              <w:top w:val="nil"/>
              <w:left w:val="nil"/>
              <w:right w:val="nil"/>
            </w:tcBorders>
            <w:vAlign w:val="bottom"/>
          </w:tcPr>
          <w:p w:rsidR="008348DC" w:rsidRPr="0057425E" w:rsidRDefault="008348DC" w:rsidP="005D423B">
            <w:pPr>
              <w:spacing w:after="0" w:line="240" w:lineRule="auto"/>
              <w:ind w:right="19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18.09.2019</w:t>
            </w:r>
          </w:p>
        </w:tc>
        <w:tc>
          <w:tcPr>
            <w:tcW w:w="4820" w:type="dxa"/>
            <w:vAlign w:val="bottom"/>
          </w:tcPr>
          <w:p w:rsidR="008348DC" w:rsidRPr="0057425E" w:rsidRDefault="008348DC" w:rsidP="005D423B">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8348DC" w:rsidRPr="0057425E" w:rsidRDefault="008348DC" w:rsidP="005D42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9 </w:t>
            </w:r>
          </w:p>
        </w:tc>
        <w:tc>
          <w:tcPr>
            <w:tcW w:w="114" w:type="dxa"/>
            <w:vAlign w:val="bottom"/>
          </w:tcPr>
          <w:p w:rsidR="008348DC" w:rsidRPr="0057425E" w:rsidRDefault="008348DC" w:rsidP="005D423B">
            <w:pPr>
              <w:spacing w:after="0" w:line="240" w:lineRule="auto"/>
              <w:jc w:val="center"/>
              <w:rPr>
                <w:rFonts w:ascii="Times New Roman" w:eastAsia="Times New Roman" w:hAnsi="Times New Roman" w:cs="Times New Roman"/>
                <w:sz w:val="32"/>
                <w:szCs w:val="20"/>
                <w:lang w:eastAsia="ru-RU"/>
              </w:rPr>
            </w:pPr>
          </w:p>
        </w:tc>
      </w:tr>
      <w:tr w:rsidR="008348DC" w:rsidRPr="0057425E" w:rsidTr="005D423B">
        <w:trPr>
          <w:trHeight w:val="308"/>
        </w:trPr>
        <w:tc>
          <w:tcPr>
            <w:tcW w:w="9690" w:type="dxa"/>
            <w:gridSpan w:val="5"/>
          </w:tcPr>
          <w:p w:rsidR="008348DC" w:rsidRPr="0057425E" w:rsidRDefault="008348DC" w:rsidP="005D423B">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8348DC" w:rsidRPr="0057425E" w:rsidRDefault="008348DC" w:rsidP="005D423B">
            <w:pPr>
              <w:spacing w:after="0" w:line="240" w:lineRule="auto"/>
              <w:jc w:val="center"/>
              <w:rPr>
                <w:rFonts w:ascii="Times New Roman" w:eastAsia="Times New Roman" w:hAnsi="Times New Roman" w:cs="Times New Roman"/>
                <w:b/>
                <w:sz w:val="32"/>
                <w:szCs w:val="20"/>
                <w:lang w:eastAsia="ru-RU"/>
              </w:rPr>
            </w:pPr>
          </w:p>
        </w:tc>
      </w:tr>
    </w:tbl>
    <w:p w:rsidR="008348DC" w:rsidRDefault="008348DC" w:rsidP="008348DC">
      <w:pPr>
        <w:tabs>
          <w:tab w:val="left" w:pos="709"/>
        </w:tabs>
        <w:spacing w:after="0" w:line="240" w:lineRule="auto"/>
        <w:jc w:val="center"/>
        <w:rPr>
          <w:rFonts w:ascii="Times New Roman" w:eastAsia="Calibri" w:hAnsi="Times New Roman" w:cs="Times New Roman"/>
          <w:sz w:val="28"/>
          <w:szCs w:val="28"/>
        </w:rPr>
      </w:pPr>
      <w:r w:rsidRPr="00490164">
        <w:rPr>
          <w:rFonts w:ascii="Times New Roman" w:eastAsia="Calibri" w:hAnsi="Times New Roman" w:cs="Times New Roman"/>
          <w:sz w:val="28"/>
          <w:szCs w:val="28"/>
        </w:rPr>
        <w:t>«О внесении изменений в Порядок формирования и ведения перечня имущества, нах</w:t>
      </w:r>
      <w:r>
        <w:rPr>
          <w:rFonts w:ascii="Times New Roman" w:eastAsia="Calibri" w:hAnsi="Times New Roman" w:cs="Times New Roman"/>
          <w:sz w:val="28"/>
          <w:szCs w:val="28"/>
        </w:rPr>
        <w:t>одящегося в собственности Николо-Александровского сельсовета</w:t>
      </w:r>
      <w:r w:rsidRPr="00490164">
        <w:rPr>
          <w:rFonts w:ascii="Times New Roman" w:eastAsia="Calibri"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утвержденный решением </w:t>
      </w:r>
      <w:r>
        <w:rPr>
          <w:rFonts w:ascii="Times New Roman" w:eastAsia="Calibri" w:hAnsi="Times New Roman" w:cs="Times New Roman"/>
          <w:sz w:val="28"/>
          <w:szCs w:val="28"/>
        </w:rPr>
        <w:t>Николо-Александровского</w:t>
      </w:r>
      <w:r w:rsidRPr="0049016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Совета народных депутатов</w:t>
      </w:r>
    </w:p>
    <w:p w:rsidR="008348DC" w:rsidRDefault="008348DC" w:rsidP="008348DC">
      <w:pPr>
        <w:tabs>
          <w:tab w:val="left" w:pos="709"/>
        </w:tabs>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26 марта 2018 № 9</w:t>
      </w:r>
    </w:p>
    <w:p w:rsidR="008348DC" w:rsidRDefault="008348DC" w:rsidP="008348DC">
      <w:pPr>
        <w:tabs>
          <w:tab w:val="left" w:pos="709"/>
        </w:tabs>
        <w:spacing w:after="0" w:line="240" w:lineRule="auto"/>
        <w:jc w:val="center"/>
        <w:rPr>
          <w:rFonts w:ascii="Times New Roman" w:eastAsia="Calibri" w:hAnsi="Times New Roman" w:cs="Times New Roman"/>
          <w:sz w:val="28"/>
          <w:szCs w:val="28"/>
        </w:rPr>
      </w:pPr>
    </w:p>
    <w:p w:rsidR="008348DC" w:rsidRPr="004A686C" w:rsidRDefault="008348DC" w:rsidP="008348DC">
      <w:pPr>
        <w:spacing w:after="200" w:line="240" w:lineRule="auto"/>
        <w:jc w:val="both"/>
        <w:rPr>
          <w:rFonts w:ascii="Times New Roman" w:eastAsia="Calibri" w:hAnsi="Times New Roman" w:cs="Times New Roman"/>
          <w:sz w:val="28"/>
          <w:szCs w:val="28"/>
        </w:rPr>
      </w:pPr>
      <w:r w:rsidRPr="004A686C">
        <w:rPr>
          <w:rFonts w:ascii="Times New Roman" w:eastAsia="Calibri" w:hAnsi="Times New Roman" w:cs="Times New Roman"/>
          <w:sz w:val="28"/>
          <w:szCs w:val="28"/>
        </w:rPr>
        <w:t>Николо</w:t>
      </w:r>
      <w:r>
        <w:rPr>
          <w:rFonts w:ascii="Times New Roman" w:eastAsia="Calibri" w:hAnsi="Times New Roman" w:cs="Times New Roman"/>
          <w:sz w:val="28"/>
          <w:szCs w:val="28"/>
        </w:rPr>
        <w:t xml:space="preserve"> – Александровский сельский Совет народных депутатов </w:t>
      </w:r>
    </w:p>
    <w:p w:rsidR="008348DC" w:rsidRDefault="008348DC" w:rsidP="008348DC">
      <w:pPr>
        <w:spacing w:after="200" w:line="276" w:lineRule="auto"/>
        <w:jc w:val="both"/>
        <w:rPr>
          <w:rFonts w:ascii="Times New Roman" w:eastAsia="Calibri" w:hAnsi="Times New Roman" w:cs="Times New Roman"/>
          <w:b/>
          <w:sz w:val="28"/>
          <w:szCs w:val="28"/>
        </w:rPr>
      </w:pPr>
      <w:r w:rsidRPr="004A686C">
        <w:rPr>
          <w:rFonts w:ascii="Times New Roman" w:eastAsia="Calibri" w:hAnsi="Times New Roman" w:cs="Times New Roman"/>
          <w:b/>
          <w:sz w:val="28"/>
          <w:szCs w:val="28"/>
        </w:rPr>
        <w:t>Решил:</w:t>
      </w:r>
    </w:p>
    <w:p w:rsidR="008348DC" w:rsidRDefault="008348DC" w:rsidP="008348DC">
      <w:pPr>
        <w:tabs>
          <w:tab w:val="left" w:pos="709"/>
        </w:tabs>
        <w:spacing w:after="200" w:line="276" w:lineRule="auto"/>
        <w:jc w:val="both"/>
        <w:rPr>
          <w:rFonts w:ascii="Times New Roman" w:eastAsia="Calibri" w:hAnsi="Times New Roman" w:cs="Times New Roman"/>
          <w:sz w:val="28"/>
          <w:szCs w:val="28"/>
        </w:rPr>
      </w:pPr>
      <w:r w:rsidRPr="00490164">
        <w:rPr>
          <w:rFonts w:ascii="Times New Roman" w:eastAsia="Calibri" w:hAnsi="Times New Roman" w:cs="Times New Roman"/>
          <w:sz w:val="28"/>
          <w:szCs w:val="28"/>
        </w:rPr>
        <w:t xml:space="preserve">            1. Внести в Порядок формирования и ведения перечня имущества, находящегося в собственности </w:t>
      </w:r>
      <w:r>
        <w:rPr>
          <w:rFonts w:ascii="Times New Roman" w:eastAsia="Calibri" w:hAnsi="Times New Roman" w:cs="Times New Roman"/>
          <w:sz w:val="28"/>
          <w:szCs w:val="28"/>
        </w:rPr>
        <w:t>Николо-Александровского сельсовета</w:t>
      </w:r>
      <w:r w:rsidRPr="00490164">
        <w:rPr>
          <w:rFonts w:ascii="Times New Roman" w:eastAsia="Calibri" w:hAnsi="Times New Roman" w:cs="Times New Roman"/>
          <w:sz w:val="28"/>
          <w:szCs w:val="28"/>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утверждённого решением</w:t>
      </w:r>
      <w:r>
        <w:rPr>
          <w:rFonts w:ascii="Times New Roman" w:eastAsia="Calibri" w:hAnsi="Times New Roman" w:cs="Times New Roman"/>
          <w:sz w:val="28"/>
          <w:szCs w:val="28"/>
        </w:rPr>
        <w:t xml:space="preserve"> Николо-Александровского</w:t>
      </w:r>
      <w:r w:rsidRPr="0049016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Совета народных депутатов от 26  марта 2018 № 9</w:t>
      </w:r>
      <w:r w:rsidRPr="00490164">
        <w:rPr>
          <w:rFonts w:ascii="Times New Roman" w:eastAsia="Calibri" w:hAnsi="Times New Roman" w:cs="Times New Roman"/>
          <w:sz w:val="28"/>
          <w:szCs w:val="28"/>
        </w:rPr>
        <w:t xml:space="preserve"> следующие изменения:</w:t>
      </w:r>
    </w:p>
    <w:p w:rsidR="008348DC" w:rsidRPr="008348DC" w:rsidRDefault="008348DC" w:rsidP="008348DC">
      <w:pPr>
        <w:pStyle w:val="a4"/>
        <w:numPr>
          <w:ilvl w:val="0"/>
          <w:numId w:val="2"/>
        </w:numPr>
        <w:tabs>
          <w:tab w:val="left" w:pos="709"/>
        </w:tabs>
        <w:suppressAutoHyphens/>
        <w:spacing w:after="0" w:line="240" w:lineRule="auto"/>
        <w:jc w:val="both"/>
        <w:rPr>
          <w:rFonts w:ascii="Times New Roman" w:eastAsia="Calibri" w:hAnsi="Times New Roman" w:cs="Times New Roman"/>
          <w:b/>
          <w:sz w:val="28"/>
          <w:szCs w:val="28"/>
        </w:rPr>
      </w:pPr>
      <w:r w:rsidRPr="008348DC">
        <w:rPr>
          <w:rFonts w:ascii="Times New Roman" w:eastAsia="Calibri" w:hAnsi="Times New Roman" w:cs="Times New Roman"/>
          <w:b/>
          <w:sz w:val="28"/>
          <w:szCs w:val="28"/>
        </w:rPr>
        <w:t xml:space="preserve">Приложение № 1 к Решению изложить в новой редакции:  </w:t>
      </w:r>
    </w:p>
    <w:p w:rsidR="008348DC" w:rsidRPr="008348DC" w:rsidRDefault="008348DC" w:rsidP="008348DC">
      <w:pPr>
        <w:spacing w:after="200" w:line="276" w:lineRule="auto"/>
        <w:jc w:val="center"/>
        <w:rPr>
          <w:rFonts w:ascii="Times New Roman" w:eastAsia="Calibri" w:hAnsi="Times New Roman" w:cs="Times New Roman"/>
          <w:sz w:val="28"/>
          <w:szCs w:val="28"/>
        </w:rPr>
      </w:pPr>
      <w:r w:rsidRPr="008348DC">
        <w:rPr>
          <w:rFonts w:ascii="Times New Roman" w:eastAsia="Calibri" w:hAnsi="Times New Roman" w:cs="Times New Roman"/>
          <w:sz w:val="28"/>
          <w:szCs w:val="28"/>
        </w:rPr>
        <w:t>«Порядок формирования и ведения перечня муниципального имущества, находящегося в собственности муниципального образования Николо-Александровский сельсовет</w:t>
      </w:r>
      <w:r w:rsidR="00040E07">
        <w:rPr>
          <w:rFonts w:ascii="Times New Roman" w:eastAsia="Calibri" w:hAnsi="Times New Roman" w:cs="Times New Roman"/>
          <w:sz w:val="28"/>
          <w:szCs w:val="28"/>
        </w:rPr>
        <w:t xml:space="preserve"> Октябрьского</w:t>
      </w:r>
      <w:r w:rsidRPr="008348DC">
        <w:rPr>
          <w:rFonts w:ascii="Times New Roman" w:eastAsia="Calibri" w:hAnsi="Times New Roman" w:cs="Times New Roman"/>
          <w:sz w:val="28"/>
          <w:szCs w:val="28"/>
        </w:rPr>
        <w:t xml:space="preserve"> район</w:t>
      </w:r>
      <w:r w:rsidR="00040E07">
        <w:rPr>
          <w:rFonts w:ascii="Times New Roman" w:eastAsia="Calibri" w:hAnsi="Times New Roman" w:cs="Times New Roman"/>
          <w:sz w:val="28"/>
          <w:szCs w:val="28"/>
        </w:rPr>
        <w:t>а</w:t>
      </w:r>
      <w:r w:rsidRPr="008348DC">
        <w:rPr>
          <w:rFonts w:ascii="Times New Roman" w:eastAsia="Calibri" w:hAnsi="Times New Roman" w:cs="Times New Roman"/>
          <w:sz w:val="28"/>
          <w:szCs w:val="28"/>
        </w:rPr>
        <w:t xml:space="preserve"> Амурской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владения и (или) в пользование на долгосрочной основе (в том числе по льготным ставкам арендной платы)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48DC" w:rsidRPr="008348DC" w:rsidRDefault="008348DC" w:rsidP="008348DC">
      <w:pPr>
        <w:spacing w:after="200" w:line="276" w:lineRule="auto"/>
        <w:jc w:val="center"/>
        <w:rPr>
          <w:rFonts w:ascii="Times New Roman" w:eastAsia="Calibri" w:hAnsi="Times New Roman" w:cs="Times New Roman"/>
          <w:sz w:val="28"/>
          <w:szCs w:val="28"/>
        </w:rPr>
      </w:pPr>
    </w:p>
    <w:p w:rsidR="008348DC" w:rsidRPr="002B7614" w:rsidRDefault="008348DC" w:rsidP="008348DC">
      <w:pPr>
        <w:spacing w:after="200" w:line="276" w:lineRule="auto"/>
        <w:jc w:val="center"/>
        <w:rPr>
          <w:rFonts w:ascii="Times New Roman" w:eastAsia="Calibri" w:hAnsi="Times New Roman" w:cs="Times New Roman"/>
          <w:b/>
          <w:i/>
          <w:sz w:val="28"/>
          <w:szCs w:val="28"/>
        </w:rPr>
      </w:pPr>
      <w:r w:rsidRPr="002B7614">
        <w:rPr>
          <w:rFonts w:ascii="Times New Roman" w:eastAsia="Calibri" w:hAnsi="Times New Roman" w:cs="Times New Roman"/>
          <w:b/>
          <w:i/>
          <w:sz w:val="28"/>
          <w:szCs w:val="28"/>
        </w:rPr>
        <w:t>1. Общие положения</w:t>
      </w:r>
    </w:p>
    <w:p w:rsidR="008348DC" w:rsidRPr="008348DC" w:rsidRDefault="008348DC" w:rsidP="00040E07">
      <w:pPr>
        <w:spacing w:after="0" w:line="240" w:lineRule="auto"/>
        <w:ind w:firstLine="708"/>
        <w:jc w:val="both"/>
        <w:rPr>
          <w:rFonts w:ascii="Times New Roman" w:eastAsia="Calibri" w:hAnsi="Times New Roman" w:cs="Times New Roman"/>
          <w:sz w:val="28"/>
          <w:szCs w:val="28"/>
        </w:rPr>
      </w:pPr>
      <w:r w:rsidRPr="008348DC">
        <w:rPr>
          <w:rFonts w:ascii="Times New Roman" w:eastAsia="Calibri" w:hAnsi="Times New Roman" w:cs="Times New Roman"/>
          <w:sz w:val="28"/>
          <w:szCs w:val="28"/>
        </w:rPr>
        <w:t xml:space="preserve">1.  Настоящий Порядок разработан в соответствии с Федеральным </w:t>
      </w:r>
      <w:hyperlink r:id="rId5" w:history="1">
        <w:r w:rsidRPr="008348DC">
          <w:rPr>
            <w:rFonts w:ascii="Times New Roman" w:eastAsia="Calibri" w:hAnsi="Times New Roman" w:cs="Times New Roman"/>
            <w:sz w:val="28"/>
            <w:szCs w:val="28"/>
          </w:rPr>
          <w:t>законом</w:t>
        </w:r>
      </w:hyperlink>
      <w:r w:rsidRPr="008348DC">
        <w:rPr>
          <w:rFonts w:ascii="Times New Roman" w:eastAsia="Calibri" w:hAnsi="Times New Roman" w:cs="Times New Roman"/>
          <w:sz w:val="28"/>
          <w:szCs w:val="28"/>
        </w:rPr>
        <w:t xml:space="preserve"> от 24 июля 2007 г. N 209-ФЗ "О развитии малого и среднего предпринимательства в Российской Федерации", Федеральным законом от 26 июля 2006 года № 135-ФЗ «О защите конкуренции», Положением «Об управлении и распоряжении муниципальной собственностью </w:t>
      </w:r>
      <w:r w:rsidR="00040E07" w:rsidRPr="00040E07">
        <w:rPr>
          <w:rFonts w:ascii="Times New Roman" w:eastAsia="Times New Roman" w:hAnsi="Times New Roman" w:cs="Times New Roman"/>
          <w:sz w:val="28"/>
          <w:szCs w:val="28"/>
          <w:lang w:eastAsia="ru-RU"/>
        </w:rPr>
        <w:t>Николо-Александровского сельсовета</w:t>
      </w:r>
      <w:r w:rsidRPr="008348DC">
        <w:rPr>
          <w:rFonts w:ascii="Times New Roman" w:eastAsia="Calibri" w:hAnsi="Times New Roman" w:cs="Times New Roman"/>
          <w:sz w:val="28"/>
          <w:szCs w:val="28"/>
        </w:rPr>
        <w:t xml:space="preserve">», утверждённого решением </w:t>
      </w:r>
      <w:r w:rsidR="00040E07" w:rsidRPr="00040E07">
        <w:rPr>
          <w:rFonts w:ascii="Times New Roman" w:eastAsia="Calibri" w:hAnsi="Times New Roman" w:cs="Times New Roman"/>
          <w:sz w:val="28"/>
          <w:szCs w:val="28"/>
        </w:rPr>
        <w:t xml:space="preserve">Николо – Александровского сельского Совета народных депутатов от 18.06.2015 № 18 </w:t>
      </w:r>
      <w:r w:rsidRPr="008348DC">
        <w:rPr>
          <w:rFonts w:ascii="Times New Roman" w:eastAsia="Calibri" w:hAnsi="Times New Roman" w:cs="Times New Roman"/>
          <w:sz w:val="28"/>
          <w:szCs w:val="28"/>
        </w:rPr>
        <w:t xml:space="preserve"> и регулирует процедуру формирования, ведения, ежегодного дополнения и опубликования Перечня имущества, находящегося в собственности муниципального образования </w:t>
      </w:r>
      <w:r w:rsidR="00040E07" w:rsidRPr="00040E07">
        <w:rPr>
          <w:rFonts w:ascii="Times New Roman" w:eastAsia="Calibri" w:hAnsi="Times New Roman" w:cs="Times New Roman"/>
          <w:sz w:val="28"/>
          <w:szCs w:val="28"/>
        </w:rPr>
        <w:t>Николо – Александровский сельсовет</w:t>
      </w:r>
      <w:r w:rsidRPr="008348DC">
        <w:rPr>
          <w:rFonts w:ascii="Times New Roman" w:eastAsia="Calibri"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r w:rsidRPr="008348DC">
        <w:rPr>
          <w:rFonts w:ascii="Calibri" w:eastAsia="Calibri" w:hAnsi="Calibri" w:cs="Times New Roman"/>
          <w:sz w:val="28"/>
          <w:szCs w:val="28"/>
        </w:rPr>
        <w:t xml:space="preserve"> – </w:t>
      </w:r>
      <w:r w:rsidRPr="008348DC">
        <w:rPr>
          <w:rFonts w:ascii="Times New Roman" w:eastAsia="Calibri" w:hAnsi="Times New Roman" w:cs="Times New Roman"/>
          <w:sz w:val="28"/>
          <w:szCs w:val="28"/>
        </w:rPr>
        <w:t>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(далее-субъекты МСП).</w:t>
      </w:r>
    </w:p>
    <w:p w:rsidR="008348DC" w:rsidRPr="008348DC" w:rsidRDefault="008348DC" w:rsidP="00040E07">
      <w:pPr>
        <w:spacing w:after="0" w:line="240" w:lineRule="auto"/>
        <w:jc w:val="both"/>
        <w:rPr>
          <w:rFonts w:ascii="Times New Roman" w:eastAsia="Calibri" w:hAnsi="Times New Roman" w:cs="Times New Roman"/>
          <w:sz w:val="24"/>
          <w:szCs w:val="24"/>
        </w:rPr>
      </w:pPr>
    </w:p>
    <w:p w:rsidR="008348DC" w:rsidRPr="002B7614" w:rsidRDefault="008348DC" w:rsidP="00040E07">
      <w:pPr>
        <w:spacing w:after="0" w:line="240" w:lineRule="auto"/>
        <w:jc w:val="center"/>
        <w:rPr>
          <w:rFonts w:ascii="Times New Roman" w:eastAsia="Times New Roman" w:hAnsi="Times New Roman" w:cs="Times New Roman"/>
          <w:b/>
          <w:i/>
          <w:sz w:val="28"/>
          <w:szCs w:val="28"/>
          <w:lang w:eastAsia="ru-RU"/>
        </w:rPr>
      </w:pPr>
      <w:r w:rsidRPr="002B7614">
        <w:rPr>
          <w:rFonts w:ascii="Times New Roman" w:eastAsia="Times New Roman" w:hAnsi="Times New Roman" w:cs="Times New Roman"/>
          <w:b/>
          <w:i/>
          <w:sz w:val="28"/>
          <w:szCs w:val="28"/>
          <w:lang w:eastAsia="ru-RU"/>
        </w:rPr>
        <w:t xml:space="preserve">2. </w:t>
      </w:r>
      <w:proofErr w:type="gramStart"/>
      <w:r w:rsidRPr="002B7614">
        <w:rPr>
          <w:rFonts w:ascii="Times New Roman" w:eastAsia="Times New Roman" w:hAnsi="Times New Roman" w:cs="Times New Roman"/>
          <w:b/>
          <w:i/>
          <w:sz w:val="28"/>
          <w:szCs w:val="28"/>
          <w:lang w:eastAsia="ru-RU"/>
        </w:rPr>
        <w:t>Формирование,  ведение</w:t>
      </w:r>
      <w:proofErr w:type="gramEnd"/>
      <w:r w:rsidRPr="002B7614">
        <w:rPr>
          <w:rFonts w:ascii="Times New Roman" w:eastAsia="Times New Roman" w:hAnsi="Times New Roman" w:cs="Times New Roman"/>
          <w:b/>
          <w:i/>
          <w:sz w:val="28"/>
          <w:szCs w:val="28"/>
          <w:lang w:eastAsia="ru-RU"/>
        </w:rPr>
        <w:t>, изменения, ежегодное дополнение,</w:t>
      </w:r>
    </w:p>
    <w:p w:rsidR="008348DC" w:rsidRPr="002B7614" w:rsidRDefault="008348DC" w:rsidP="00040E07">
      <w:pPr>
        <w:spacing w:after="0" w:line="240" w:lineRule="auto"/>
        <w:jc w:val="center"/>
        <w:rPr>
          <w:rFonts w:ascii="Times New Roman" w:eastAsia="Times New Roman" w:hAnsi="Times New Roman" w:cs="Times New Roman"/>
          <w:b/>
          <w:i/>
          <w:sz w:val="28"/>
          <w:szCs w:val="28"/>
          <w:lang w:eastAsia="ru-RU"/>
        </w:rPr>
      </w:pPr>
      <w:proofErr w:type="gramStart"/>
      <w:r w:rsidRPr="002B7614">
        <w:rPr>
          <w:rFonts w:ascii="Times New Roman" w:eastAsia="Times New Roman" w:hAnsi="Times New Roman" w:cs="Times New Roman"/>
          <w:b/>
          <w:i/>
          <w:sz w:val="28"/>
          <w:szCs w:val="28"/>
          <w:lang w:eastAsia="ru-RU"/>
        </w:rPr>
        <w:t>и</w:t>
      </w:r>
      <w:proofErr w:type="gramEnd"/>
      <w:r w:rsidRPr="002B7614">
        <w:rPr>
          <w:rFonts w:ascii="Times New Roman" w:eastAsia="Times New Roman" w:hAnsi="Times New Roman" w:cs="Times New Roman"/>
          <w:b/>
          <w:i/>
          <w:sz w:val="28"/>
          <w:szCs w:val="28"/>
          <w:lang w:eastAsia="ru-RU"/>
        </w:rPr>
        <w:t xml:space="preserve"> опубликование  Перечня</w:t>
      </w:r>
    </w:p>
    <w:p w:rsidR="00804526" w:rsidRPr="008348DC" w:rsidRDefault="00804526" w:rsidP="00040E07">
      <w:pPr>
        <w:spacing w:after="0" w:line="240" w:lineRule="auto"/>
        <w:jc w:val="center"/>
        <w:rPr>
          <w:rFonts w:ascii="Times New Roman" w:eastAsia="Times New Roman" w:hAnsi="Times New Roman" w:cs="Times New Roman"/>
          <w:sz w:val="28"/>
          <w:szCs w:val="28"/>
          <w:lang w:eastAsia="ru-RU"/>
        </w:rPr>
      </w:pPr>
    </w:p>
    <w:p w:rsidR="008348DC" w:rsidRPr="008348DC" w:rsidRDefault="008348DC" w:rsidP="00040E07">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2.1. В перечне содержатся сведения о муниципальном имуществе  </w:t>
      </w:r>
      <w:r w:rsidR="00804526">
        <w:rPr>
          <w:rFonts w:ascii="Times New Roman" w:eastAsia="Times New Roman" w:hAnsi="Times New Roman" w:cs="Times New Roman"/>
          <w:sz w:val="28"/>
          <w:szCs w:val="28"/>
          <w:lang w:eastAsia="ru-RU"/>
        </w:rPr>
        <w:t>Николо-Александровского сельсовета</w:t>
      </w:r>
      <w:r w:rsidRPr="008348DC">
        <w:rPr>
          <w:rFonts w:ascii="Times New Roman" w:eastAsia="Times New Roman" w:hAnsi="Times New Roman" w:cs="Times New Roman"/>
          <w:sz w:val="28"/>
          <w:szCs w:val="28"/>
          <w:lang w:eastAsia="ru-RU"/>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 </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2.2. Формирование и ведение Перечня основываются на следующих основных принципах:</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lastRenderedPageBreak/>
        <w:t>- доступность информации об имуществе, включённом в Перечень, для субъектов малого и среднего предпринимательства и организаций инфраструктуры поддержки;</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 предоставление имущества, принадлежащего на праве собственности муниципальному образованию </w:t>
      </w:r>
      <w:r w:rsidR="00804526">
        <w:rPr>
          <w:rFonts w:ascii="Times New Roman" w:eastAsia="Times New Roman" w:hAnsi="Times New Roman" w:cs="Times New Roman"/>
          <w:sz w:val="28"/>
          <w:szCs w:val="28"/>
          <w:lang w:eastAsia="ru-RU"/>
        </w:rPr>
        <w:t>Николо-Александровский сельсовет</w:t>
      </w:r>
      <w:r w:rsidR="00804526"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во владение и (или) в пользование на долгосрочной основе (в том числе возмездное, безвозмездно и по льготным ставкам арендной платы) субъектам МСП и организациям инфраструктуры поддержки;</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 реализация полномочий муниципального образования </w:t>
      </w:r>
      <w:r w:rsidR="00804526">
        <w:rPr>
          <w:rFonts w:ascii="Times New Roman" w:eastAsia="Times New Roman" w:hAnsi="Times New Roman" w:cs="Times New Roman"/>
          <w:sz w:val="28"/>
          <w:szCs w:val="28"/>
          <w:lang w:eastAsia="ru-RU"/>
        </w:rPr>
        <w:t>Николо-Александровский сельсовет</w:t>
      </w:r>
      <w:r w:rsidRPr="008348DC">
        <w:rPr>
          <w:rFonts w:ascii="Times New Roman" w:eastAsia="Times New Roman" w:hAnsi="Times New Roman" w:cs="Times New Roman"/>
          <w:sz w:val="28"/>
          <w:szCs w:val="28"/>
          <w:lang w:eastAsia="ru-RU"/>
        </w:rPr>
        <w:t xml:space="preserve"> в сфере оказания имущественной поддержки субъектам МСП;</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 повышение эффективности управления муниципальным имуществом находящегося в собственности </w:t>
      </w:r>
      <w:r w:rsidR="00804526">
        <w:rPr>
          <w:rFonts w:ascii="Times New Roman" w:eastAsia="Times New Roman" w:hAnsi="Times New Roman" w:cs="Times New Roman"/>
          <w:sz w:val="28"/>
          <w:szCs w:val="28"/>
          <w:lang w:eastAsia="ru-RU"/>
        </w:rPr>
        <w:t>Николо-Александровского сельсовета</w:t>
      </w:r>
      <w:r w:rsidRPr="008348DC">
        <w:rPr>
          <w:rFonts w:ascii="Times New Roman" w:eastAsia="Times New Roman" w:hAnsi="Times New Roman" w:cs="Times New Roman"/>
          <w:sz w:val="28"/>
          <w:szCs w:val="28"/>
          <w:lang w:eastAsia="ru-RU"/>
        </w:rPr>
        <w:t xml:space="preserve">, стимулирования развития малого и среднего предпринимательства на территории муниципального образования </w:t>
      </w:r>
      <w:r w:rsidR="00804526">
        <w:rPr>
          <w:rFonts w:ascii="Times New Roman" w:eastAsia="Times New Roman" w:hAnsi="Times New Roman" w:cs="Times New Roman"/>
          <w:sz w:val="28"/>
          <w:szCs w:val="28"/>
          <w:lang w:eastAsia="ru-RU"/>
        </w:rPr>
        <w:t>Николо-Александровского сельсовета</w:t>
      </w:r>
      <w:r w:rsidRPr="008348DC">
        <w:rPr>
          <w:rFonts w:ascii="Times New Roman" w:eastAsia="Times New Roman" w:hAnsi="Times New Roman" w:cs="Times New Roman"/>
          <w:sz w:val="28"/>
          <w:szCs w:val="28"/>
          <w:lang w:eastAsia="ru-RU"/>
        </w:rPr>
        <w:t>;</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достоверность данных об имуществе, включенном в Перечень, и поддержание актуальности информации об имуществе, включённом в Перечень.</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2.3. Ежегодная актуализация Перечня (до 1 ноября текущего года), осуще</w:t>
      </w:r>
      <w:r w:rsidR="00804526">
        <w:rPr>
          <w:rFonts w:ascii="Times New Roman" w:eastAsia="Times New Roman" w:hAnsi="Times New Roman" w:cs="Times New Roman"/>
          <w:sz w:val="28"/>
          <w:szCs w:val="28"/>
          <w:lang w:eastAsia="ru-RU"/>
        </w:rPr>
        <w:t>ствляется на основе предложений</w:t>
      </w:r>
      <w:r w:rsidRPr="008348DC">
        <w:rPr>
          <w:rFonts w:ascii="Times New Roman" w:eastAsia="Times New Roman" w:hAnsi="Times New Roman" w:cs="Times New Roman"/>
          <w:sz w:val="28"/>
          <w:szCs w:val="28"/>
          <w:lang w:eastAsia="ru-RU"/>
        </w:rPr>
        <w:t>.</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2.4. В перечень может быть включено:</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2) недвижимое имущество, подключенное к сетям инженерно-технического обеспечения и имеющее доступ к объектам транспортной инфраструктуры;</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3)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4)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постановления Главы </w:t>
      </w:r>
      <w:r w:rsidR="00804526">
        <w:rPr>
          <w:rFonts w:ascii="Times New Roman" w:eastAsia="Times New Roman" w:hAnsi="Times New Roman" w:cs="Times New Roman"/>
          <w:sz w:val="28"/>
          <w:szCs w:val="28"/>
          <w:lang w:eastAsia="ru-RU"/>
        </w:rPr>
        <w:t>Николо-Александровского сельсовета</w:t>
      </w:r>
      <w:r w:rsidR="00804526"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о внесении изменений и дополнений в Перечень.</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2.5. Перечень, изменения и ежегодное дополнение в него утверждаются   Постановлением Главы </w:t>
      </w:r>
      <w:r w:rsidR="00804526">
        <w:rPr>
          <w:rFonts w:ascii="Times New Roman" w:eastAsia="Times New Roman" w:hAnsi="Times New Roman" w:cs="Times New Roman"/>
          <w:sz w:val="28"/>
          <w:szCs w:val="28"/>
          <w:lang w:eastAsia="ru-RU"/>
        </w:rPr>
        <w:t>Николо-Александровского сельсовета</w:t>
      </w:r>
      <w:r w:rsidRPr="008348DC">
        <w:rPr>
          <w:rFonts w:ascii="Times New Roman" w:eastAsia="Times New Roman" w:hAnsi="Times New Roman" w:cs="Times New Roman"/>
          <w:sz w:val="28"/>
          <w:szCs w:val="28"/>
          <w:lang w:eastAsia="ru-RU"/>
        </w:rPr>
        <w:t>.</w:t>
      </w:r>
    </w:p>
    <w:p w:rsidR="008348DC" w:rsidRPr="008348DC" w:rsidRDefault="008348DC" w:rsidP="008348DC">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2.6. Формирования и ведения Перечня осуществляется</w:t>
      </w:r>
      <w:r w:rsidR="00804526">
        <w:rPr>
          <w:rFonts w:ascii="Times New Roman" w:eastAsia="Times New Roman" w:hAnsi="Times New Roman" w:cs="Times New Roman"/>
          <w:sz w:val="28"/>
          <w:szCs w:val="28"/>
          <w:lang w:eastAsia="ru-RU"/>
        </w:rPr>
        <w:t xml:space="preserve"> Главой администрации</w:t>
      </w:r>
      <w:r w:rsidRPr="008348DC">
        <w:rPr>
          <w:rFonts w:ascii="Times New Roman" w:eastAsia="Times New Roman" w:hAnsi="Times New Roman" w:cs="Times New Roman"/>
          <w:sz w:val="28"/>
          <w:szCs w:val="28"/>
          <w:lang w:eastAsia="ru-RU"/>
        </w:rPr>
        <w:t xml:space="preserve"> </w:t>
      </w:r>
      <w:r w:rsidR="00804526">
        <w:rPr>
          <w:rFonts w:ascii="Times New Roman" w:eastAsia="Times New Roman" w:hAnsi="Times New Roman" w:cs="Times New Roman"/>
          <w:sz w:val="28"/>
          <w:szCs w:val="28"/>
          <w:lang w:eastAsia="ru-RU"/>
        </w:rPr>
        <w:t>Николо-Александровского сельсовета</w:t>
      </w:r>
      <w:r w:rsidR="00804526"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 xml:space="preserve">(далее </w:t>
      </w:r>
      <w:r w:rsidR="00804526">
        <w:rPr>
          <w:rFonts w:ascii="Times New Roman" w:eastAsia="Times New Roman" w:hAnsi="Times New Roman" w:cs="Times New Roman"/>
          <w:sz w:val="28"/>
          <w:szCs w:val="28"/>
          <w:lang w:eastAsia="ru-RU"/>
        </w:rPr>
        <w:t xml:space="preserve">– Глава </w:t>
      </w:r>
      <w:r w:rsidR="00804526">
        <w:rPr>
          <w:rFonts w:ascii="Times New Roman" w:eastAsia="Times New Roman" w:hAnsi="Times New Roman" w:cs="Times New Roman"/>
          <w:sz w:val="28"/>
          <w:szCs w:val="28"/>
          <w:lang w:eastAsia="ru-RU"/>
        </w:rPr>
        <w:lastRenderedPageBreak/>
        <w:t>администрации</w:t>
      </w:r>
      <w:r w:rsidRPr="008348DC">
        <w:rPr>
          <w:rFonts w:ascii="Times New Roman" w:eastAsia="Times New Roman" w:hAnsi="Times New Roman" w:cs="Times New Roman"/>
          <w:sz w:val="28"/>
          <w:szCs w:val="28"/>
          <w:lang w:eastAsia="ru-RU"/>
        </w:rPr>
        <w:t xml:space="preserve">) на бумажных и электронных носителях по форме, согласно приложению № 1 к настоящему порядку. </w:t>
      </w:r>
      <w:r w:rsidR="00804526">
        <w:rPr>
          <w:rFonts w:ascii="Times New Roman" w:eastAsia="Times New Roman" w:hAnsi="Times New Roman" w:cs="Times New Roman"/>
          <w:sz w:val="28"/>
          <w:szCs w:val="28"/>
          <w:lang w:eastAsia="ru-RU"/>
        </w:rPr>
        <w:t>Глава администрации</w:t>
      </w:r>
      <w:r w:rsidRPr="008348DC">
        <w:rPr>
          <w:rFonts w:ascii="Times New Roman" w:eastAsia="Times New Roman" w:hAnsi="Times New Roman" w:cs="Times New Roman"/>
          <w:sz w:val="28"/>
          <w:szCs w:val="28"/>
          <w:lang w:eastAsia="ru-RU"/>
        </w:rPr>
        <w:t xml:space="preserve"> отвечает за достоверность содержащихся в Перечне сведений. </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2.7. В Перечень вносятся сведения о муниципальном имуществе, соответствующем следующим критериям: </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а</w:t>
      </w:r>
      <w:proofErr w:type="gramEnd"/>
      <w:r w:rsidRPr="008348DC">
        <w:rPr>
          <w:rFonts w:ascii="Times New Roman" w:eastAsia="Times New Roman" w:hAnsi="Times New Roman" w:cs="Times New Roman"/>
          <w:sz w:val="28"/>
          <w:szCs w:val="28"/>
          <w:lang w:eastAsia="ru-RU"/>
        </w:rPr>
        <w:t>) имущество свободно от прав третьих лиц (за исключением имущественных прав субъектов МСП, а также права хозяйственного ведения, права оперативного управления);</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б</w:t>
      </w:r>
      <w:proofErr w:type="gramEnd"/>
      <w:r w:rsidRPr="008348DC">
        <w:rPr>
          <w:rFonts w:ascii="Times New Roman" w:eastAsia="Times New Roman" w:hAnsi="Times New Roman" w:cs="Times New Roman"/>
          <w:sz w:val="28"/>
          <w:szCs w:val="28"/>
          <w:lang w:eastAsia="ru-RU"/>
        </w:rPr>
        <w:t>) в отношении имущества не установлен запрет на его передачу во временное владение и (или) пользование, в том числе в аренду;</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в</w:t>
      </w:r>
      <w:proofErr w:type="gramEnd"/>
      <w:r w:rsidRPr="008348DC">
        <w:rPr>
          <w:rFonts w:ascii="Times New Roman" w:eastAsia="Times New Roman" w:hAnsi="Times New Roman" w:cs="Times New Roman"/>
          <w:sz w:val="28"/>
          <w:szCs w:val="28"/>
          <w:lang w:eastAsia="ru-RU"/>
        </w:rPr>
        <w:t>) имущество не является объектом религиозного назначения;</w:t>
      </w:r>
    </w:p>
    <w:p w:rsidR="008348DC" w:rsidRPr="008348DC" w:rsidRDefault="00804526" w:rsidP="008348D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w:t>
      </w:r>
      <w:r w:rsidR="008348DC" w:rsidRPr="008348DC">
        <w:rPr>
          <w:rFonts w:ascii="Times New Roman" w:eastAsia="Times New Roman" w:hAnsi="Times New Roman" w:cs="Times New Roman"/>
          <w:sz w:val="28"/>
          <w:szCs w:val="28"/>
          <w:lang w:eastAsia="ru-RU"/>
        </w:rPr>
        <w:t xml:space="preserve">имущество не требует проведения капитального ремонта или реконструкции, не является объектом незавершённого строительства, за исключением случая, предусмотренных постановлением главы </w:t>
      </w:r>
      <w:r>
        <w:rPr>
          <w:rFonts w:ascii="Times New Roman" w:eastAsia="Times New Roman" w:hAnsi="Times New Roman" w:cs="Times New Roman"/>
          <w:sz w:val="28"/>
          <w:szCs w:val="28"/>
          <w:lang w:eastAsia="ru-RU"/>
        </w:rPr>
        <w:t>Николо-Александровского сельсовета</w:t>
      </w:r>
      <w:r w:rsidR="008348DC" w:rsidRPr="008348DC">
        <w:rPr>
          <w:rFonts w:ascii="Times New Roman" w:eastAsia="Times New Roman" w:hAnsi="Times New Roman" w:cs="Times New Roman"/>
          <w:sz w:val="28"/>
          <w:szCs w:val="28"/>
          <w:lang w:eastAsia="ru-RU"/>
        </w:rPr>
        <w:t>,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д</w:t>
      </w:r>
      <w:proofErr w:type="gramEnd"/>
      <w:r w:rsidRPr="008348DC">
        <w:rPr>
          <w:rFonts w:ascii="Times New Roman" w:eastAsia="Times New Roman" w:hAnsi="Times New Roman" w:cs="Times New Roman"/>
          <w:sz w:val="28"/>
          <w:szCs w:val="28"/>
          <w:lang w:eastAsia="ru-RU"/>
        </w:rPr>
        <w:t xml:space="preserve">) имущество не включено в прогнозный план (программу) приватизации имущества, находящегося в собственности муниципального образования </w:t>
      </w:r>
      <w:r w:rsidR="00804526">
        <w:rPr>
          <w:rFonts w:ascii="Times New Roman" w:eastAsia="Times New Roman" w:hAnsi="Times New Roman" w:cs="Times New Roman"/>
          <w:sz w:val="28"/>
          <w:szCs w:val="28"/>
          <w:lang w:eastAsia="ru-RU"/>
        </w:rPr>
        <w:t>Николо-Александровский сельсовет</w:t>
      </w:r>
      <w:r w:rsidRPr="008348DC">
        <w:rPr>
          <w:rFonts w:ascii="Times New Roman" w:eastAsia="Times New Roman" w:hAnsi="Times New Roman" w:cs="Times New Roman"/>
          <w:sz w:val="28"/>
          <w:szCs w:val="28"/>
          <w:lang w:eastAsia="ru-RU"/>
        </w:rPr>
        <w:t xml:space="preserve">; </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е</w:t>
      </w:r>
      <w:proofErr w:type="gramEnd"/>
      <w:r w:rsidRPr="008348DC">
        <w:rPr>
          <w:rFonts w:ascii="Times New Roman" w:eastAsia="Times New Roman" w:hAnsi="Times New Roman" w:cs="Times New Roman"/>
          <w:sz w:val="28"/>
          <w:szCs w:val="28"/>
          <w:lang w:eastAsia="ru-RU"/>
        </w:rPr>
        <w:t>) имущество не признано аварийным и подлежащим сносу;</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ж</w:t>
      </w:r>
      <w:proofErr w:type="gramEnd"/>
      <w:r w:rsidRPr="008348DC">
        <w:rPr>
          <w:rFonts w:ascii="Times New Roman" w:eastAsia="Times New Roman" w:hAnsi="Times New Roman" w:cs="Times New Roman"/>
          <w:sz w:val="28"/>
          <w:szCs w:val="28"/>
          <w:lang w:eastAsia="ru-RU"/>
        </w:rPr>
        <w:t>) имущество не относиться к жилому фонду и не является объектом сети инженерно-технического обеспечения, к которым подключён объект жилищного фонда;</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з</w:t>
      </w:r>
      <w:proofErr w:type="gramEnd"/>
      <w:r w:rsidRPr="008348DC">
        <w:rPr>
          <w:rFonts w:ascii="Times New Roman" w:eastAsia="Times New Roman" w:hAnsi="Times New Roman" w:cs="Times New Roman"/>
          <w:sz w:val="28"/>
          <w:szCs w:val="28"/>
          <w:lang w:eastAsia="ru-RU"/>
        </w:rPr>
        <w:t xml:space="preserve">) земельные участки, на которых расположены объекты недвижимого имущества, должны предусматривать их использование для размещения указанных объектов. </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и</w:t>
      </w:r>
      <w:proofErr w:type="gramEnd"/>
      <w:r w:rsidRPr="008348DC">
        <w:rPr>
          <w:rFonts w:ascii="Times New Roman" w:eastAsia="Times New Roman" w:hAnsi="Times New Roman" w:cs="Times New Roman"/>
          <w:sz w:val="28"/>
          <w:szCs w:val="28"/>
          <w:lang w:eastAsia="ru-RU"/>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к</w:t>
      </w:r>
      <w:proofErr w:type="gramEnd"/>
      <w:r w:rsidRPr="008348DC">
        <w:rPr>
          <w:rFonts w:ascii="Times New Roman" w:eastAsia="Times New Roman" w:hAnsi="Times New Roman" w:cs="Times New Roman"/>
          <w:sz w:val="28"/>
          <w:szCs w:val="28"/>
          <w:lang w:eastAsia="ru-RU"/>
        </w:rPr>
        <w:t>) земельный участок не относится к земельным участкам, предусмотренным подпунктами 1-10, 13-15, 18, 19 пункта 8 статьи 39.11. Земельного кодекса РФ, за исключением земельных участков, предоставленных в аренду субъектам МСП;</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л) в отношении имущества, закреплённого за муниципальным унитарным предприятием,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согласовано постановлением Главы </w:t>
      </w:r>
      <w:r w:rsidR="00804526">
        <w:rPr>
          <w:rFonts w:ascii="Times New Roman" w:eastAsia="Times New Roman" w:hAnsi="Times New Roman" w:cs="Times New Roman"/>
          <w:sz w:val="28"/>
          <w:szCs w:val="28"/>
          <w:lang w:eastAsia="ru-RU"/>
        </w:rPr>
        <w:t>Николо-Александровского сельсовета</w:t>
      </w:r>
      <w:r w:rsidRPr="008348DC">
        <w:rPr>
          <w:rFonts w:ascii="Times New Roman" w:eastAsia="Times New Roman" w:hAnsi="Times New Roman" w:cs="Times New Roman"/>
          <w:sz w:val="28"/>
          <w:szCs w:val="28"/>
          <w:lang w:eastAsia="ru-RU"/>
        </w:rPr>
        <w:t>, на включение имущества в Перечень в целях предоставления такого  имущества во владение и (или) в пользование субъектам МСП и организациям, образующим инфраструктуру поддержки;</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м</w:t>
      </w:r>
      <w:proofErr w:type="gramEnd"/>
      <w:r w:rsidRPr="008348DC">
        <w:rPr>
          <w:rFonts w:ascii="Times New Roman" w:eastAsia="Times New Roman" w:hAnsi="Times New Roman" w:cs="Times New Roman"/>
          <w:sz w:val="28"/>
          <w:szCs w:val="28"/>
          <w:lang w:eastAsia="ru-RU"/>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w:t>
      </w:r>
      <w:r w:rsidRPr="008348DC">
        <w:rPr>
          <w:rFonts w:ascii="Times New Roman" w:eastAsia="Times New Roman" w:hAnsi="Times New Roman" w:cs="Times New Roman"/>
          <w:sz w:val="28"/>
          <w:szCs w:val="28"/>
          <w:lang w:eastAsia="ru-RU"/>
        </w:rPr>
        <w:lastRenderedPageBreak/>
        <w:t xml:space="preserve">пяти лет или его предоставление в аренду на срок пять и более лет в соответствии с законом РФ не допускается, а также не является частью неделимой вещи.    </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2.8. Сведения об имуществе группируются в Перечень по видам имущества (недвижимое имущество (в том числе единый недвижимый комплекс), земельные участки, движимое имущество).</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2.9. Внесение сведений об имуществе в Перечень (в том числе ежегодное дополнение), а также исключение сведений об имуществе из Перечня осуществляется   Постановлением Главы </w:t>
      </w:r>
      <w:r w:rsidR="00804526">
        <w:rPr>
          <w:rFonts w:ascii="Times New Roman" w:eastAsia="Times New Roman" w:hAnsi="Times New Roman" w:cs="Times New Roman"/>
          <w:sz w:val="28"/>
          <w:szCs w:val="28"/>
          <w:lang w:eastAsia="ru-RU"/>
        </w:rPr>
        <w:t>Николо-Александровского сельсовета</w:t>
      </w:r>
      <w:r w:rsidR="00804526"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по его инициатив</w:t>
      </w:r>
      <w:r w:rsidR="00F00070">
        <w:rPr>
          <w:rFonts w:ascii="Times New Roman" w:eastAsia="Times New Roman" w:hAnsi="Times New Roman" w:cs="Times New Roman"/>
          <w:sz w:val="28"/>
          <w:szCs w:val="28"/>
          <w:lang w:eastAsia="ru-RU"/>
        </w:rPr>
        <w:t xml:space="preserve">е или на основании предложений </w:t>
      </w:r>
      <w:r w:rsidRPr="008348DC">
        <w:rPr>
          <w:rFonts w:ascii="Times New Roman" w:eastAsia="Times New Roman" w:hAnsi="Times New Roman" w:cs="Times New Roman"/>
          <w:sz w:val="28"/>
          <w:szCs w:val="28"/>
          <w:lang w:eastAsia="ru-RU"/>
        </w:rPr>
        <w:t>предпринимателей.</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образования </w:t>
      </w:r>
      <w:r w:rsidR="00F00070">
        <w:rPr>
          <w:rFonts w:ascii="Times New Roman" w:eastAsia="Times New Roman" w:hAnsi="Times New Roman" w:cs="Times New Roman"/>
          <w:sz w:val="28"/>
          <w:szCs w:val="28"/>
          <w:lang w:eastAsia="ru-RU"/>
        </w:rPr>
        <w:t>Николо-Александровский сельсовет</w:t>
      </w:r>
      <w:r w:rsidRPr="008348DC">
        <w:rPr>
          <w:rFonts w:ascii="Times New Roman" w:eastAsia="Times New Roman" w:hAnsi="Times New Roman" w:cs="Times New Roman"/>
          <w:sz w:val="28"/>
          <w:szCs w:val="28"/>
          <w:lang w:eastAsia="ru-RU"/>
        </w:rPr>
        <w:t xml:space="preserve">. </w:t>
      </w:r>
    </w:p>
    <w:p w:rsidR="008348DC" w:rsidRPr="008348DC" w:rsidRDefault="00F00070" w:rsidP="008348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8348DC" w:rsidRPr="008348DC">
        <w:rPr>
          <w:rFonts w:ascii="Times New Roman" w:eastAsia="Times New Roman" w:hAnsi="Times New Roman" w:cs="Times New Roman"/>
          <w:sz w:val="28"/>
          <w:szCs w:val="28"/>
          <w:lang w:eastAsia="ru-RU"/>
        </w:rPr>
        <w:t xml:space="preserve">Рассмотрение главой </w:t>
      </w:r>
      <w:r>
        <w:rPr>
          <w:rFonts w:ascii="Times New Roman" w:eastAsia="Times New Roman" w:hAnsi="Times New Roman" w:cs="Times New Roman"/>
          <w:sz w:val="28"/>
          <w:szCs w:val="28"/>
          <w:lang w:eastAsia="ru-RU"/>
        </w:rPr>
        <w:t>Николо-Александровского сельсовета</w:t>
      </w:r>
      <w:r w:rsidRPr="008348DC">
        <w:rPr>
          <w:rFonts w:ascii="Times New Roman" w:eastAsia="Times New Roman" w:hAnsi="Times New Roman" w:cs="Times New Roman"/>
          <w:sz w:val="28"/>
          <w:szCs w:val="28"/>
          <w:lang w:eastAsia="ru-RU"/>
        </w:rPr>
        <w:t xml:space="preserve"> </w:t>
      </w:r>
      <w:r w:rsidR="008348DC" w:rsidRPr="008348DC">
        <w:rPr>
          <w:rFonts w:ascii="Times New Roman" w:eastAsia="Times New Roman" w:hAnsi="Times New Roman" w:cs="Times New Roman"/>
          <w:sz w:val="28"/>
          <w:szCs w:val="28"/>
          <w:lang w:eastAsia="ru-RU"/>
        </w:rPr>
        <w:t>предложений, поступивших от лиц, указанных в пункте 2.9</w:t>
      </w:r>
      <w:r w:rsidR="00040E07">
        <w:rPr>
          <w:rFonts w:ascii="Times New Roman" w:eastAsia="Times New Roman" w:hAnsi="Times New Roman" w:cs="Times New Roman"/>
          <w:sz w:val="28"/>
          <w:szCs w:val="28"/>
          <w:lang w:eastAsia="ru-RU"/>
        </w:rPr>
        <w:t>.</w:t>
      </w:r>
      <w:r w:rsidR="008348DC" w:rsidRPr="008348DC">
        <w:rPr>
          <w:rFonts w:ascii="Times New Roman" w:eastAsia="Times New Roman" w:hAnsi="Times New Roman" w:cs="Times New Roman"/>
          <w:sz w:val="28"/>
          <w:szCs w:val="28"/>
          <w:lang w:eastAsia="ru-RU"/>
        </w:rPr>
        <w:t>настоящего Порядка, осуществляется в течение 10 календарных дней со дня их поступления. По результатам рассмотрения принимается одно из следующих решений:</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о включении сведений об имуществе, в отношении которого поступило предложение, в Перечень с принятием соответствующего правового акта;</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об исключении сведений об имуществе, в отношении которого поступило предложение, из Перечня, с принятием соответствующего правового акта;</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об отказе в учете предложений с направлением лицу, представившему предложение, мотивированного отказа о невозможности включения сведений об имуществе в Перечень;</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2.11. Решение об отказе в учете предложения о включении имущества в Перечень принимается в следующих случаях:</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а</w:t>
      </w:r>
      <w:proofErr w:type="gramEnd"/>
      <w:r w:rsidRPr="008348DC">
        <w:rPr>
          <w:rFonts w:ascii="Times New Roman" w:eastAsia="Times New Roman" w:hAnsi="Times New Roman" w:cs="Times New Roman"/>
          <w:sz w:val="28"/>
          <w:szCs w:val="28"/>
          <w:lang w:eastAsia="ru-RU"/>
        </w:rPr>
        <w:t>) имущество не соответствует критериям, установленным пунктом   пункт м) статьи 2.7. настоящего Порядка;</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б</w:t>
      </w:r>
      <w:proofErr w:type="gramEnd"/>
      <w:r w:rsidRPr="008348DC">
        <w:rPr>
          <w:rFonts w:ascii="Times New Roman" w:eastAsia="Times New Roman" w:hAnsi="Times New Roman" w:cs="Times New Roman"/>
          <w:sz w:val="28"/>
          <w:szCs w:val="28"/>
          <w:lang w:eastAsia="ru-RU"/>
        </w:rPr>
        <w:t xml:space="preserve">)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F00070" w:rsidRPr="008348DC">
        <w:rPr>
          <w:rFonts w:ascii="Times New Roman" w:eastAsia="Times New Roman" w:hAnsi="Times New Roman" w:cs="Times New Roman"/>
          <w:sz w:val="28"/>
          <w:szCs w:val="28"/>
          <w:lang w:eastAsia="ru-RU"/>
        </w:rPr>
        <w:t>администрация</w:t>
      </w:r>
      <w:r w:rsidR="00F00070">
        <w:rPr>
          <w:rFonts w:ascii="Times New Roman" w:eastAsia="Times New Roman" w:hAnsi="Times New Roman" w:cs="Times New Roman"/>
          <w:sz w:val="28"/>
          <w:szCs w:val="28"/>
          <w:lang w:eastAsia="ru-RU"/>
        </w:rPr>
        <w:t xml:space="preserve"> Николо-Александровского сельсовета</w:t>
      </w:r>
      <w:r w:rsidR="00F00070"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на согласование сделок с имуществом балансодержателя;</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в</w:t>
      </w:r>
      <w:proofErr w:type="gramEnd"/>
      <w:r w:rsidRPr="008348DC">
        <w:rPr>
          <w:rFonts w:ascii="Times New Roman" w:eastAsia="Times New Roman" w:hAnsi="Times New Roman" w:cs="Times New Roman"/>
          <w:sz w:val="28"/>
          <w:szCs w:val="28"/>
          <w:lang w:eastAsia="ru-RU"/>
        </w:rPr>
        <w:t xml:space="preserve">) отсутствуют индивидуально-определенные признаки движимого имущества, позволяющие заключить в отношении него договор аренды. </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2.12. Глава </w:t>
      </w:r>
      <w:r w:rsidR="00F00070">
        <w:rPr>
          <w:rFonts w:ascii="Times New Roman" w:eastAsia="Times New Roman" w:hAnsi="Times New Roman" w:cs="Times New Roman"/>
          <w:sz w:val="28"/>
          <w:szCs w:val="28"/>
          <w:lang w:eastAsia="ru-RU"/>
        </w:rPr>
        <w:t>Николо-Александровского сельсовета</w:t>
      </w:r>
      <w:r w:rsidR="00F00070"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 xml:space="preserve">вправе исключить сведения о муниципальном имуществе </w:t>
      </w:r>
      <w:r w:rsidR="00F00070">
        <w:rPr>
          <w:rFonts w:ascii="Times New Roman" w:eastAsia="Times New Roman" w:hAnsi="Times New Roman" w:cs="Times New Roman"/>
          <w:sz w:val="28"/>
          <w:szCs w:val="28"/>
          <w:lang w:eastAsia="ru-RU"/>
        </w:rPr>
        <w:t>Николо-Александровского сельсовета</w:t>
      </w:r>
      <w:r w:rsidR="00F00070"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348DC" w:rsidRPr="008348DC" w:rsidRDefault="008348DC" w:rsidP="008348D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348DC" w:rsidRPr="008348DC" w:rsidRDefault="008348DC" w:rsidP="008348D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lastRenderedPageBreak/>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Земельного кодекса Российской Федерации.</w:t>
      </w:r>
    </w:p>
    <w:p w:rsidR="008348DC" w:rsidRPr="008348DC" w:rsidRDefault="008348DC" w:rsidP="008348DC">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2.13. Сведения о муниципальном имуществе </w:t>
      </w:r>
      <w:r w:rsidR="00F00070">
        <w:rPr>
          <w:rFonts w:ascii="Times New Roman" w:eastAsia="Times New Roman" w:hAnsi="Times New Roman" w:cs="Times New Roman"/>
          <w:sz w:val="28"/>
          <w:szCs w:val="28"/>
          <w:lang w:eastAsia="ru-RU"/>
        </w:rPr>
        <w:t>Николо-Александровского сельсовета</w:t>
      </w:r>
      <w:r w:rsidR="00F00070"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подлежат исключению из Перечня, в следующих случаях:</w:t>
      </w:r>
    </w:p>
    <w:p w:rsidR="008348DC" w:rsidRPr="008348DC" w:rsidRDefault="008348DC" w:rsidP="008348DC">
      <w:pPr>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а</w:t>
      </w:r>
      <w:proofErr w:type="gramEnd"/>
      <w:r w:rsidRPr="008348DC">
        <w:rPr>
          <w:rFonts w:ascii="Times New Roman" w:eastAsia="Times New Roman" w:hAnsi="Times New Roman" w:cs="Times New Roman"/>
          <w:sz w:val="28"/>
          <w:szCs w:val="28"/>
          <w:lang w:eastAsia="ru-RU"/>
        </w:rPr>
        <w:t>)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октябрьский район.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348DC" w:rsidRPr="008348DC" w:rsidRDefault="008348DC" w:rsidP="008348DC">
      <w:pPr>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б</w:t>
      </w:r>
      <w:proofErr w:type="gramEnd"/>
      <w:r w:rsidRPr="008348DC">
        <w:rPr>
          <w:rFonts w:ascii="Times New Roman" w:eastAsia="Times New Roman" w:hAnsi="Times New Roman" w:cs="Times New Roman"/>
          <w:sz w:val="28"/>
          <w:szCs w:val="28"/>
          <w:lang w:eastAsia="ru-RU"/>
        </w:rPr>
        <w:t xml:space="preserve">) право собственности муниципального образования </w:t>
      </w:r>
      <w:r w:rsidR="00F00070">
        <w:rPr>
          <w:rFonts w:ascii="Times New Roman" w:eastAsia="Times New Roman" w:hAnsi="Times New Roman" w:cs="Times New Roman"/>
          <w:sz w:val="28"/>
          <w:szCs w:val="28"/>
          <w:lang w:eastAsia="ru-RU"/>
        </w:rPr>
        <w:t>Николо-Александровский сельсовет</w:t>
      </w:r>
      <w:r w:rsidR="00F00070"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на имущество прекращено по решению суда или в ином установленном законом порядке;</w:t>
      </w:r>
    </w:p>
    <w:p w:rsidR="008348DC" w:rsidRPr="008348DC" w:rsidRDefault="008348DC" w:rsidP="008348DC">
      <w:pPr>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в</w:t>
      </w:r>
      <w:proofErr w:type="gramEnd"/>
      <w:r w:rsidRPr="008348DC">
        <w:rPr>
          <w:rFonts w:ascii="Times New Roman" w:eastAsia="Times New Roman" w:hAnsi="Times New Roman" w:cs="Times New Roman"/>
          <w:sz w:val="28"/>
          <w:szCs w:val="28"/>
          <w:lang w:eastAsia="ru-RU"/>
        </w:rPr>
        <w:t>) прекращение существования имущества в результате его гибели или уничтожения;</w:t>
      </w:r>
    </w:p>
    <w:p w:rsidR="008348DC" w:rsidRPr="008348DC" w:rsidRDefault="008348DC" w:rsidP="008348DC">
      <w:pPr>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8348DC">
        <w:rPr>
          <w:rFonts w:ascii="Times New Roman" w:eastAsia="Times New Roman" w:hAnsi="Times New Roman" w:cs="Times New Roman"/>
          <w:sz w:val="28"/>
          <w:szCs w:val="28"/>
          <w:lang w:eastAsia="ru-RU"/>
        </w:rPr>
        <w:t>г</w:t>
      </w:r>
      <w:proofErr w:type="gramEnd"/>
      <w:r w:rsidRPr="008348DC">
        <w:rPr>
          <w:rFonts w:ascii="Times New Roman" w:eastAsia="Times New Roman" w:hAnsi="Times New Roman" w:cs="Times New Roman"/>
          <w:sz w:val="28"/>
          <w:szCs w:val="28"/>
          <w:lang w:eastAsia="ru-RU"/>
        </w:rPr>
        <w:t>)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348DC" w:rsidRPr="008348DC" w:rsidRDefault="008348DC" w:rsidP="008348DC">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д)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w:t>
      </w:r>
    </w:p>
    <w:p w:rsidR="008348DC" w:rsidRPr="008348DC" w:rsidRDefault="008348DC" w:rsidP="008348DC">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2.14. Постановлением главы </w:t>
      </w:r>
      <w:r w:rsidR="00F00070">
        <w:rPr>
          <w:rFonts w:ascii="Times New Roman" w:eastAsia="Times New Roman" w:hAnsi="Times New Roman" w:cs="Times New Roman"/>
          <w:sz w:val="28"/>
          <w:szCs w:val="28"/>
          <w:lang w:eastAsia="ru-RU"/>
        </w:rPr>
        <w:t>Николо-Александровского сельсовета</w:t>
      </w:r>
      <w:r w:rsidR="00F00070"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исключается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w:t>
      </w:r>
      <w:r w:rsidR="00040E07">
        <w:rPr>
          <w:rFonts w:ascii="Times New Roman" w:eastAsia="Times New Roman" w:hAnsi="Times New Roman" w:cs="Times New Roman"/>
          <w:sz w:val="28"/>
          <w:szCs w:val="28"/>
          <w:lang w:eastAsia="ru-RU"/>
        </w:rPr>
        <w:t xml:space="preserve">тального ремонта </w:t>
      </w:r>
      <w:r w:rsidRPr="008348DC">
        <w:rPr>
          <w:rFonts w:ascii="Times New Roman" w:eastAsia="Times New Roman" w:hAnsi="Times New Roman" w:cs="Times New Roman"/>
          <w:sz w:val="28"/>
          <w:szCs w:val="28"/>
          <w:lang w:eastAsia="ru-RU"/>
        </w:rPr>
        <w:t xml:space="preserve">и (или) реконструкции арендатором. </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2.15. </w:t>
      </w:r>
      <w:r w:rsidR="00F00070">
        <w:rPr>
          <w:rFonts w:ascii="Times New Roman" w:eastAsia="Times New Roman" w:hAnsi="Times New Roman" w:cs="Times New Roman"/>
          <w:sz w:val="28"/>
          <w:szCs w:val="28"/>
          <w:lang w:eastAsia="ru-RU"/>
        </w:rPr>
        <w:t>А</w:t>
      </w:r>
      <w:r w:rsidR="00F00070" w:rsidRPr="008348DC">
        <w:rPr>
          <w:rFonts w:ascii="Times New Roman" w:eastAsia="Times New Roman" w:hAnsi="Times New Roman" w:cs="Times New Roman"/>
          <w:sz w:val="28"/>
          <w:szCs w:val="28"/>
          <w:lang w:eastAsia="ru-RU"/>
        </w:rPr>
        <w:t>дминистрация</w:t>
      </w:r>
      <w:r w:rsidR="00F00070">
        <w:rPr>
          <w:rFonts w:ascii="Times New Roman" w:eastAsia="Times New Roman" w:hAnsi="Times New Roman" w:cs="Times New Roman"/>
          <w:sz w:val="28"/>
          <w:szCs w:val="28"/>
          <w:lang w:eastAsia="ru-RU"/>
        </w:rPr>
        <w:t xml:space="preserve"> Николо-Александровского сельсовета</w:t>
      </w:r>
      <w:r w:rsidR="00F00070"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уведомляет арендатора о намерении исключения имущества из Перечня в срок не позднее трех рабочих дней с даты получения информации одного из осно</w:t>
      </w:r>
      <w:r w:rsidR="00F00070">
        <w:rPr>
          <w:rFonts w:ascii="Times New Roman" w:eastAsia="Times New Roman" w:hAnsi="Times New Roman" w:cs="Times New Roman"/>
          <w:sz w:val="28"/>
          <w:szCs w:val="28"/>
          <w:lang w:eastAsia="ru-RU"/>
        </w:rPr>
        <w:t>ваний, указанных в пункте 2.13.</w:t>
      </w:r>
      <w:r w:rsidRPr="008348DC">
        <w:rPr>
          <w:rFonts w:ascii="Times New Roman" w:eastAsia="Times New Roman" w:hAnsi="Times New Roman" w:cs="Times New Roman"/>
          <w:sz w:val="28"/>
          <w:szCs w:val="28"/>
          <w:lang w:eastAsia="ru-RU"/>
        </w:rPr>
        <w:t xml:space="preserve">настоящего порядка, за </w:t>
      </w:r>
      <w:r w:rsidR="00040E07">
        <w:rPr>
          <w:rFonts w:ascii="Times New Roman" w:eastAsia="Times New Roman" w:hAnsi="Times New Roman" w:cs="Times New Roman"/>
          <w:sz w:val="28"/>
          <w:szCs w:val="28"/>
          <w:lang w:eastAsia="ru-RU"/>
        </w:rPr>
        <w:t xml:space="preserve">исключением подпункта д пункта </w:t>
      </w:r>
      <w:r w:rsidRPr="008348DC">
        <w:rPr>
          <w:rFonts w:ascii="Times New Roman" w:eastAsia="Times New Roman" w:hAnsi="Times New Roman" w:cs="Times New Roman"/>
          <w:sz w:val="28"/>
          <w:szCs w:val="28"/>
          <w:lang w:eastAsia="ru-RU"/>
        </w:rPr>
        <w:t xml:space="preserve">2.13. </w:t>
      </w:r>
    </w:p>
    <w:p w:rsidR="008348DC" w:rsidRPr="008348DC" w:rsidRDefault="008348DC" w:rsidP="008348DC">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2.16. Перечень и все изменения к нему, а также исключение сведе</w:t>
      </w:r>
      <w:r w:rsidR="00F00070">
        <w:rPr>
          <w:rFonts w:ascii="Times New Roman" w:eastAsia="Times New Roman" w:hAnsi="Times New Roman" w:cs="Times New Roman"/>
          <w:sz w:val="28"/>
          <w:szCs w:val="28"/>
          <w:lang w:eastAsia="ru-RU"/>
        </w:rPr>
        <w:t xml:space="preserve">ний о муниципальном имуществе, </w:t>
      </w:r>
      <w:r w:rsidRPr="008348DC">
        <w:rPr>
          <w:rFonts w:ascii="Times New Roman" w:eastAsia="Times New Roman" w:hAnsi="Times New Roman" w:cs="Times New Roman"/>
          <w:sz w:val="28"/>
          <w:szCs w:val="28"/>
          <w:lang w:eastAsia="ru-RU"/>
        </w:rPr>
        <w:t xml:space="preserve">подлежат обязательному опубликованию в средствах массовой информации и размещению в сети Интернет на официальном сайте администрации </w:t>
      </w:r>
      <w:r w:rsidR="00F00070">
        <w:rPr>
          <w:rFonts w:ascii="Times New Roman" w:eastAsia="Times New Roman" w:hAnsi="Times New Roman" w:cs="Times New Roman"/>
          <w:sz w:val="28"/>
          <w:szCs w:val="28"/>
          <w:lang w:eastAsia="ru-RU"/>
        </w:rPr>
        <w:t>Николо-Александровского сельсовета</w:t>
      </w:r>
      <w:r w:rsidR="00F00070"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(далее – администрация</w:t>
      </w:r>
      <w:r w:rsidR="00F00070">
        <w:rPr>
          <w:rFonts w:ascii="Times New Roman" w:eastAsia="Times New Roman" w:hAnsi="Times New Roman" w:cs="Times New Roman"/>
          <w:sz w:val="28"/>
          <w:szCs w:val="28"/>
          <w:lang w:eastAsia="ru-RU"/>
        </w:rPr>
        <w:t xml:space="preserve"> Николо-Александровского сельсовета</w:t>
      </w:r>
      <w:r w:rsidRPr="008348DC">
        <w:rPr>
          <w:rFonts w:ascii="Times New Roman" w:eastAsia="Times New Roman" w:hAnsi="Times New Roman" w:cs="Times New Roman"/>
          <w:sz w:val="28"/>
          <w:szCs w:val="28"/>
          <w:lang w:eastAsia="ru-RU"/>
        </w:rPr>
        <w:t xml:space="preserve">) в течение 10 рабочих </w:t>
      </w:r>
      <w:r w:rsidRPr="008348DC">
        <w:rPr>
          <w:rFonts w:ascii="Times New Roman" w:eastAsia="Times New Roman" w:hAnsi="Times New Roman" w:cs="Times New Roman"/>
          <w:sz w:val="28"/>
          <w:szCs w:val="28"/>
          <w:lang w:eastAsia="ru-RU"/>
        </w:rPr>
        <w:lastRenderedPageBreak/>
        <w:t xml:space="preserve">дней со дня вступления в силу постановления главы </w:t>
      </w:r>
      <w:r w:rsidR="00F00070">
        <w:rPr>
          <w:rFonts w:ascii="Times New Roman" w:eastAsia="Times New Roman" w:hAnsi="Times New Roman" w:cs="Times New Roman"/>
          <w:sz w:val="28"/>
          <w:szCs w:val="28"/>
          <w:lang w:eastAsia="ru-RU"/>
        </w:rPr>
        <w:t>Николо-Александровского сельсовета</w:t>
      </w:r>
      <w:r w:rsidR="00F00070" w:rsidRPr="008348DC">
        <w:rPr>
          <w:rFonts w:ascii="Times New Roman" w:eastAsia="Times New Roman" w:hAnsi="Times New Roman" w:cs="Times New Roman"/>
          <w:sz w:val="28"/>
          <w:szCs w:val="28"/>
          <w:lang w:eastAsia="ru-RU"/>
        </w:rPr>
        <w:t xml:space="preserve"> </w:t>
      </w:r>
      <w:r w:rsidRPr="008348DC">
        <w:rPr>
          <w:rFonts w:ascii="Times New Roman" w:eastAsia="Times New Roman" w:hAnsi="Times New Roman" w:cs="Times New Roman"/>
          <w:sz w:val="28"/>
          <w:szCs w:val="28"/>
          <w:lang w:eastAsia="ru-RU"/>
        </w:rPr>
        <w:t>об утверждении перечня либо о внесении в него изменений.</w:t>
      </w:r>
    </w:p>
    <w:p w:rsidR="008348DC" w:rsidRPr="008348DC" w:rsidRDefault="008348DC" w:rsidP="00040E07">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2.17. Утверждённый перечень, а также информация о внесённых в него изменениях (в том числе ежегодное дополнение), а также исключение св</w:t>
      </w:r>
      <w:r w:rsidR="00040E07">
        <w:rPr>
          <w:rFonts w:ascii="Times New Roman" w:eastAsia="Times New Roman" w:hAnsi="Times New Roman" w:cs="Times New Roman"/>
          <w:sz w:val="28"/>
          <w:szCs w:val="28"/>
          <w:lang w:eastAsia="ru-RU"/>
        </w:rPr>
        <w:t xml:space="preserve">едений об имуществе из Перечня </w:t>
      </w:r>
      <w:r w:rsidRPr="008348DC">
        <w:rPr>
          <w:rFonts w:ascii="Times New Roman" w:eastAsia="Times New Roman" w:hAnsi="Times New Roman" w:cs="Times New Roman"/>
          <w:sz w:val="28"/>
          <w:szCs w:val="28"/>
          <w:lang w:eastAsia="ru-RU"/>
        </w:rPr>
        <w:t xml:space="preserve">в 10-дневный срок направляется </w:t>
      </w:r>
      <w:r w:rsidR="00F00070">
        <w:rPr>
          <w:rFonts w:ascii="Times New Roman" w:eastAsia="Times New Roman" w:hAnsi="Times New Roman" w:cs="Times New Roman"/>
          <w:sz w:val="28"/>
          <w:szCs w:val="28"/>
          <w:lang w:eastAsia="ru-RU"/>
        </w:rPr>
        <w:t>администрацией Николо-Александровского сельсовета</w:t>
      </w:r>
      <w:r w:rsidRPr="008348DC">
        <w:rPr>
          <w:rFonts w:ascii="Times New Roman" w:eastAsia="Times New Roman" w:hAnsi="Times New Roman" w:cs="Times New Roman"/>
          <w:sz w:val="28"/>
          <w:szCs w:val="28"/>
          <w:lang w:eastAsia="ru-RU"/>
        </w:rPr>
        <w:t xml:space="preserve"> для сведения предпринимателей.</w:t>
      </w:r>
    </w:p>
    <w:p w:rsidR="008348DC" w:rsidRPr="008348DC" w:rsidRDefault="008348DC" w:rsidP="00040E07">
      <w:pPr>
        <w:spacing w:after="0" w:line="240" w:lineRule="auto"/>
        <w:jc w:val="both"/>
        <w:rPr>
          <w:rFonts w:ascii="Times New Roman" w:eastAsia="Times New Roman" w:hAnsi="Times New Roman" w:cs="Times New Roman"/>
          <w:sz w:val="28"/>
          <w:szCs w:val="28"/>
          <w:lang w:eastAsia="ru-RU"/>
        </w:rPr>
      </w:pPr>
    </w:p>
    <w:p w:rsidR="008348DC" w:rsidRPr="002B7614" w:rsidRDefault="008348DC" w:rsidP="00040E07">
      <w:pPr>
        <w:spacing w:after="0" w:line="240" w:lineRule="auto"/>
        <w:jc w:val="center"/>
        <w:rPr>
          <w:rFonts w:ascii="Times New Roman" w:eastAsia="Times New Roman" w:hAnsi="Times New Roman" w:cs="Times New Roman"/>
          <w:b/>
          <w:i/>
          <w:sz w:val="28"/>
          <w:szCs w:val="28"/>
          <w:lang w:eastAsia="ru-RU"/>
        </w:rPr>
      </w:pPr>
      <w:r w:rsidRPr="002B7614">
        <w:rPr>
          <w:rFonts w:ascii="Times New Roman" w:eastAsia="Times New Roman" w:hAnsi="Times New Roman" w:cs="Times New Roman"/>
          <w:b/>
          <w:i/>
          <w:sz w:val="28"/>
          <w:szCs w:val="28"/>
          <w:lang w:eastAsia="ru-RU"/>
        </w:rPr>
        <w:t>3. Требования к имуществу сведения, о котором включены в Перечень</w:t>
      </w:r>
    </w:p>
    <w:p w:rsidR="008348DC" w:rsidRPr="008348DC" w:rsidRDefault="008348DC" w:rsidP="00040E07">
      <w:pPr>
        <w:spacing w:after="0" w:line="240" w:lineRule="auto"/>
        <w:jc w:val="both"/>
        <w:rPr>
          <w:rFonts w:ascii="Times New Roman" w:eastAsia="Times New Roman" w:hAnsi="Times New Roman" w:cs="Times New Roman"/>
          <w:sz w:val="28"/>
          <w:szCs w:val="28"/>
          <w:lang w:eastAsia="ru-RU"/>
        </w:rPr>
      </w:pPr>
    </w:p>
    <w:p w:rsidR="008348DC" w:rsidRPr="008348DC" w:rsidRDefault="008348DC" w:rsidP="00040E07">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 xml:space="preserve">3.1. Имущество, включенное в Перечень должно использоваться по целевому назначению. </w:t>
      </w:r>
    </w:p>
    <w:p w:rsidR="008348DC" w:rsidRPr="008348DC" w:rsidRDefault="008348DC" w:rsidP="00040E07">
      <w:pPr>
        <w:spacing w:after="0" w:line="240" w:lineRule="auto"/>
        <w:ind w:firstLine="709"/>
        <w:jc w:val="both"/>
        <w:rPr>
          <w:rFonts w:ascii="Times New Roman" w:eastAsia="Times New Roman" w:hAnsi="Times New Roman" w:cs="Times New Roman"/>
          <w:sz w:val="28"/>
          <w:szCs w:val="28"/>
          <w:lang w:eastAsia="ru-RU"/>
        </w:rPr>
      </w:pPr>
      <w:r w:rsidRPr="008348DC">
        <w:rPr>
          <w:rFonts w:ascii="Times New Roman" w:eastAsia="Times New Roman" w:hAnsi="Times New Roman" w:cs="Times New Roman"/>
          <w:sz w:val="28"/>
          <w:szCs w:val="28"/>
          <w:lang w:eastAsia="ru-RU"/>
        </w:rPr>
        <w:t>3.2. Получатели имущественной поддержки не вправе совершать следующие действия: отчуждать в собственность третьим лицам (продавать, производить обмен, передавать в дар и наследование); сдава</w:t>
      </w:r>
      <w:r w:rsidR="00040E07">
        <w:rPr>
          <w:rFonts w:ascii="Times New Roman" w:eastAsia="Times New Roman" w:hAnsi="Times New Roman" w:cs="Times New Roman"/>
          <w:sz w:val="28"/>
          <w:szCs w:val="28"/>
          <w:lang w:eastAsia="ru-RU"/>
        </w:rPr>
        <w:t xml:space="preserve">ть в аренду; отдавать в залог; </w:t>
      </w:r>
      <w:r w:rsidRPr="008348DC">
        <w:rPr>
          <w:rFonts w:ascii="Times New Roman" w:eastAsia="Times New Roman" w:hAnsi="Times New Roman" w:cs="Times New Roman"/>
          <w:sz w:val="28"/>
          <w:szCs w:val="28"/>
          <w:lang w:eastAsia="ru-RU"/>
        </w:rPr>
        <w:t>вносить в уставный капитал любых других субъектов хозяйственной деятельности, обременять его другими способами и т.п.).</w:t>
      </w:r>
    </w:p>
    <w:p w:rsidR="008348DC" w:rsidRPr="008348DC" w:rsidRDefault="008348DC" w:rsidP="008348DC">
      <w:pPr>
        <w:spacing w:after="0" w:line="240" w:lineRule="auto"/>
        <w:jc w:val="both"/>
        <w:rPr>
          <w:rFonts w:ascii="Times New Roman" w:eastAsia="Times New Roman" w:hAnsi="Times New Roman" w:cs="Times New Roman"/>
          <w:sz w:val="28"/>
          <w:szCs w:val="28"/>
          <w:lang w:eastAsia="ru-RU"/>
        </w:rPr>
      </w:pPr>
    </w:p>
    <w:p w:rsidR="008348DC" w:rsidRPr="008348DC" w:rsidRDefault="008348DC" w:rsidP="002B7614">
      <w:pPr>
        <w:tabs>
          <w:tab w:val="left" w:pos="7095"/>
        </w:tabs>
        <w:spacing w:after="0" w:line="240" w:lineRule="auto"/>
        <w:jc w:val="right"/>
        <w:rPr>
          <w:rFonts w:ascii="Times New Roman" w:eastAsia="Calibri" w:hAnsi="Times New Roman" w:cs="Times New Roman"/>
          <w:sz w:val="28"/>
          <w:szCs w:val="28"/>
          <w:lang w:eastAsia="ru-RU"/>
        </w:rPr>
      </w:pPr>
      <w:r w:rsidRPr="008348DC">
        <w:rPr>
          <w:rFonts w:ascii="Times New Roman" w:eastAsia="Calibri" w:hAnsi="Times New Roman" w:cs="Times New Roman"/>
          <w:sz w:val="28"/>
          <w:szCs w:val="28"/>
          <w:lang w:eastAsia="ru-RU"/>
        </w:rPr>
        <w:t>Приложение № 1</w:t>
      </w:r>
    </w:p>
    <w:p w:rsidR="008348DC" w:rsidRDefault="008348DC" w:rsidP="002B7614">
      <w:pPr>
        <w:tabs>
          <w:tab w:val="left" w:pos="7095"/>
        </w:tabs>
        <w:spacing w:after="0" w:line="240" w:lineRule="auto"/>
        <w:jc w:val="right"/>
        <w:rPr>
          <w:rFonts w:ascii="Times New Roman" w:eastAsia="Calibri" w:hAnsi="Times New Roman" w:cs="Times New Roman"/>
          <w:sz w:val="28"/>
          <w:szCs w:val="28"/>
        </w:rPr>
      </w:pPr>
      <w:proofErr w:type="gramStart"/>
      <w:r w:rsidRPr="008348DC">
        <w:rPr>
          <w:rFonts w:ascii="Times New Roman" w:eastAsia="Calibri" w:hAnsi="Times New Roman" w:cs="Times New Roman"/>
          <w:sz w:val="28"/>
          <w:szCs w:val="28"/>
          <w:lang w:eastAsia="ru-RU"/>
        </w:rPr>
        <w:t>к</w:t>
      </w:r>
      <w:proofErr w:type="gramEnd"/>
      <w:r w:rsidRPr="008348DC">
        <w:rPr>
          <w:rFonts w:ascii="Times New Roman" w:eastAsia="Calibri" w:hAnsi="Times New Roman" w:cs="Times New Roman"/>
          <w:sz w:val="28"/>
          <w:szCs w:val="28"/>
          <w:lang w:eastAsia="ru-RU"/>
        </w:rPr>
        <w:t xml:space="preserve"> П</w:t>
      </w:r>
      <w:r w:rsidRPr="008348DC">
        <w:rPr>
          <w:rFonts w:ascii="Times New Roman" w:eastAsia="Calibri" w:hAnsi="Times New Roman" w:cs="Times New Roman"/>
          <w:sz w:val="28"/>
          <w:szCs w:val="28"/>
        </w:rPr>
        <w:t xml:space="preserve">орядку </w:t>
      </w:r>
    </w:p>
    <w:p w:rsidR="002B7614" w:rsidRPr="008348DC" w:rsidRDefault="002B7614" w:rsidP="002B7614">
      <w:pPr>
        <w:tabs>
          <w:tab w:val="left" w:pos="7095"/>
        </w:tabs>
        <w:spacing w:after="0" w:line="240" w:lineRule="auto"/>
        <w:jc w:val="right"/>
        <w:rPr>
          <w:rFonts w:ascii="Times New Roman" w:eastAsia="Calibri" w:hAnsi="Times New Roman" w:cs="Times New Roman"/>
          <w:sz w:val="28"/>
          <w:szCs w:val="28"/>
          <w:lang w:eastAsia="ru-RU"/>
        </w:rPr>
      </w:pPr>
    </w:p>
    <w:p w:rsidR="008348DC" w:rsidRPr="008348DC" w:rsidRDefault="008348DC" w:rsidP="008348DC">
      <w:pPr>
        <w:spacing w:after="200" w:line="276" w:lineRule="auto"/>
        <w:jc w:val="center"/>
        <w:rPr>
          <w:rFonts w:ascii="Times New Roman" w:eastAsia="Calibri" w:hAnsi="Times New Roman" w:cs="Times New Roman"/>
          <w:sz w:val="28"/>
          <w:szCs w:val="28"/>
        </w:rPr>
      </w:pPr>
      <w:r w:rsidRPr="008348DC">
        <w:rPr>
          <w:rFonts w:ascii="Times New Roman" w:eastAsia="Calibri" w:hAnsi="Times New Roman" w:cs="Times New Roman"/>
          <w:sz w:val="28"/>
          <w:szCs w:val="28"/>
          <w:lang w:eastAsia="ru-RU"/>
        </w:rPr>
        <w:t xml:space="preserve">Форма перечня </w:t>
      </w:r>
      <w:r w:rsidRPr="008348DC">
        <w:rPr>
          <w:rFonts w:ascii="Times New Roman" w:eastAsia="Calibri" w:hAnsi="Times New Roman" w:cs="Times New Roman"/>
          <w:sz w:val="28"/>
          <w:szCs w:val="28"/>
        </w:rPr>
        <w:t>муниципального имущества, находящегося в собственности муниципального образования</w:t>
      </w:r>
      <w:r w:rsidR="00F00070" w:rsidRPr="00F00070">
        <w:rPr>
          <w:rFonts w:ascii="Times New Roman" w:eastAsia="Times New Roman" w:hAnsi="Times New Roman" w:cs="Times New Roman"/>
          <w:sz w:val="28"/>
          <w:szCs w:val="28"/>
          <w:lang w:eastAsia="ru-RU"/>
        </w:rPr>
        <w:t xml:space="preserve"> </w:t>
      </w:r>
      <w:r w:rsidR="00F00070">
        <w:rPr>
          <w:rFonts w:ascii="Times New Roman" w:eastAsia="Times New Roman" w:hAnsi="Times New Roman" w:cs="Times New Roman"/>
          <w:sz w:val="28"/>
          <w:szCs w:val="28"/>
          <w:lang w:eastAsia="ru-RU"/>
        </w:rPr>
        <w:t>Николо-Александровский сельсовет</w:t>
      </w:r>
      <w:r w:rsidR="00040E07">
        <w:rPr>
          <w:rFonts w:ascii="Times New Roman" w:eastAsia="Calibri" w:hAnsi="Times New Roman" w:cs="Times New Roman"/>
          <w:sz w:val="28"/>
          <w:szCs w:val="28"/>
        </w:rPr>
        <w:t xml:space="preserve"> Октябрьского</w:t>
      </w:r>
      <w:r w:rsidRPr="008348DC">
        <w:rPr>
          <w:rFonts w:ascii="Times New Roman" w:eastAsia="Calibri" w:hAnsi="Times New Roman" w:cs="Times New Roman"/>
          <w:sz w:val="28"/>
          <w:szCs w:val="28"/>
        </w:rPr>
        <w:t xml:space="preserve"> район</w:t>
      </w:r>
      <w:r w:rsidR="00040E07">
        <w:rPr>
          <w:rFonts w:ascii="Times New Roman" w:eastAsia="Calibri" w:hAnsi="Times New Roman" w:cs="Times New Roman"/>
          <w:sz w:val="28"/>
          <w:szCs w:val="28"/>
        </w:rPr>
        <w:t>а</w:t>
      </w:r>
      <w:r w:rsidRPr="008348DC">
        <w:rPr>
          <w:rFonts w:ascii="Times New Roman" w:eastAsia="Calibri" w:hAnsi="Times New Roman" w:cs="Times New Roman"/>
          <w:sz w:val="28"/>
          <w:szCs w:val="28"/>
        </w:rPr>
        <w:t xml:space="preserve"> Амурской области предназначенного для предоставления во владения и (или) в пользование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Style w:val="a3"/>
        <w:tblW w:w="9889" w:type="dxa"/>
        <w:tblLayout w:type="fixed"/>
        <w:tblLook w:val="04A0" w:firstRow="1" w:lastRow="0" w:firstColumn="1" w:lastColumn="0" w:noHBand="0" w:noVBand="1"/>
      </w:tblPr>
      <w:tblGrid>
        <w:gridCol w:w="496"/>
        <w:gridCol w:w="1659"/>
        <w:gridCol w:w="1593"/>
        <w:gridCol w:w="1465"/>
        <w:gridCol w:w="1602"/>
        <w:gridCol w:w="1657"/>
        <w:gridCol w:w="1417"/>
      </w:tblGrid>
      <w:tr w:rsidR="008348DC" w:rsidRPr="008348DC" w:rsidTr="005D423B">
        <w:trPr>
          <w:trHeight w:val="240"/>
        </w:trPr>
        <w:tc>
          <w:tcPr>
            <w:tcW w:w="496" w:type="dxa"/>
            <w:vMerge w:val="restart"/>
          </w:tcPr>
          <w:p w:rsidR="008348DC" w:rsidRPr="008348DC" w:rsidRDefault="008348DC" w:rsidP="008348DC">
            <w:pPr>
              <w:jc w:val="both"/>
            </w:pPr>
            <w:r w:rsidRPr="008348DC">
              <w:t>№</w:t>
            </w:r>
          </w:p>
          <w:p w:rsidR="008348DC" w:rsidRPr="008348DC" w:rsidRDefault="008348DC" w:rsidP="008348DC">
            <w:pPr>
              <w:jc w:val="both"/>
            </w:pPr>
            <w:proofErr w:type="gramStart"/>
            <w:r w:rsidRPr="008348DC">
              <w:t>п</w:t>
            </w:r>
            <w:proofErr w:type="gramEnd"/>
            <w:r w:rsidRPr="008348DC">
              <w:t>/п</w:t>
            </w:r>
          </w:p>
        </w:tc>
        <w:tc>
          <w:tcPr>
            <w:tcW w:w="1659" w:type="dxa"/>
            <w:vMerge w:val="restart"/>
          </w:tcPr>
          <w:p w:rsidR="008348DC" w:rsidRPr="008348DC" w:rsidRDefault="008348DC" w:rsidP="008348DC">
            <w:pPr>
              <w:jc w:val="both"/>
            </w:pPr>
            <w:r w:rsidRPr="008348DC">
              <w:t>Адрес местоположения объекта</w:t>
            </w:r>
          </w:p>
        </w:tc>
        <w:tc>
          <w:tcPr>
            <w:tcW w:w="1593" w:type="dxa"/>
            <w:vMerge w:val="restart"/>
          </w:tcPr>
          <w:p w:rsidR="008348DC" w:rsidRPr="008348DC" w:rsidRDefault="008348DC" w:rsidP="008348DC">
            <w:pPr>
              <w:jc w:val="both"/>
            </w:pPr>
            <w:r w:rsidRPr="008348DC">
              <w:t>Вид объекта недвижимости</w:t>
            </w:r>
            <w:proofErr w:type="gramStart"/>
            <w:r w:rsidRPr="008348DC">
              <w:t>. тип</w:t>
            </w:r>
            <w:proofErr w:type="gramEnd"/>
            <w:r w:rsidRPr="008348DC">
              <w:t xml:space="preserve"> движимого имущества</w:t>
            </w:r>
          </w:p>
        </w:tc>
        <w:tc>
          <w:tcPr>
            <w:tcW w:w="1465" w:type="dxa"/>
            <w:vMerge w:val="restart"/>
          </w:tcPr>
          <w:p w:rsidR="008348DC" w:rsidRPr="008348DC" w:rsidRDefault="008348DC" w:rsidP="008348DC">
            <w:pPr>
              <w:jc w:val="both"/>
            </w:pPr>
            <w:r w:rsidRPr="008348DC">
              <w:t>Наименование объекта учёта</w:t>
            </w:r>
          </w:p>
        </w:tc>
        <w:tc>
          <w:tcPr>
            <w:tcW w:w="4676" w:type="dxa"/>
            <w:gridSpan w:val="3"/>
          </w:tcPr>
          <w:p w:rsidR="008348DC" w:rsidRPr="008348DC" w:rsidRDefault="008348DC" w:rsidP="008348DC">
            <w:pPr>
              <w:jc w:val="both"/>
            </w:pPr>
            <w:r w:rsidRPr="008348DC">
              <w:t>Сведения о недвижимом имуществе</w:t>
            </w:r>
          </w:p>
        </w:tc>
      </w:tr>
      <w:tr w:rsidR="008348DC" w:rsidRPr="008348DC" w:rsidTr="005D423B">
        <w:trPr>
          <w:trHeight w:val="285"/>
        </w:trPr>
        <w:tc>
          <w:tcPr>
            <w:tcW w:w="496" w:type="dxa"/>
            <w:vMerge/>
          </w:tcPr>
          <w:p w:rsidR="008348DC" w:rsidRPr="008348DC" w:rsidRDefault="008348DC" w:rsidP="008348DC">
            <w:pPr>
              <w:jc w:val="both"/>
            </w:pPr>
          </w:p>
        </w:tc>
        <w:tc>
          <w:tcPr>
            <w:tcW w:w="1659" w:type="dxa"/>
            <w:vMerge/>
          </w:tcPr>
          <w:p w:rsidR="008348DC" w:rsidRPr="008348DC" w:rsidRDefault="008348DC" w:rsidP="008348DC">
            <w:pPr>
              <w:jc w:val="both"/>
            </w:pPr>
          </w:p>
        </w:tc>
        <w:tc>
          <w:tcPr>
            <w:tcW w:w="1593" w:type="dxa"/>
            <w:vMerge/>
          </w:tcPr>
          <w:p w:rsidR="008348DC" w:rsidRPr="008348DC" w:rsidRDefault="008348DC" w:rsidP="008348DC">
            <w:pPr>
              <w:jc w:val="both"/>
            </w:pPr>
          </w:p>
        </w:tc>
        <w:tc>
          <w:tcPr>
            <w:tcW w:w="1465" w:type="dxa"/>
            <w:vMerge/>
          </w:tcPr>
          <w:p w:rsidR="008348DC" w:rsidRPr="008348DC" w:rsidRDefault="008348DC" w:rsidP="008348DC">
            <w:pPr>
              <w:jc w:val="both"/>
            </w:pPr>
          </w:p>
        </w:tc>
        <w:tc>
          <w:tcPr>
            <w:tcW w:w="4676" w:type="dxa"/>
            <w:gridSpan w:val="3"/>
          </w:tcPr>
          <w:p w:rsidR="008348DC" w:rsidRPr="008348DC" w:rsidRDefault="008348DC" w:rsidP="008348DC">
            <w:pPr>
              <w:jc w:val="both"/>
            </w:pPr>
            <w:r w:rsidRPr="008348DC">
              <w:t>Основная характеристика объекта недвижимости</w:t>
            </w:r>
          </w:p>
        </w:tc>
      </w:tr>
      <w:tr w:rsidR="008348DC" w:rsidRPr="008348DC" w:rsidTr="005D423B">
        <w:trPr>
          <w:trHeight w:val="375"/>
        </w:trPr>
        <w:tc>
          <w:tcPr>
            <w:tcW w:w="496" w:type="dxa"/>
            <w:vMerge/>
          </w:tcPr>
          <w:p w:rsidR="008348DC" w:rsidRPr="008348DC" w:rsidRDefault="008348DC" w:rsidP="008348DC">
            <w:pPr>
              <w:jc w:val="both"/>
            </w:pPr>
          </w:p>
        </w:tc>
        <w:tc>
          <w:tcPr>
            <w:tcW w:w="1659" w:type="dxa"/>
            <w:vMerge/>
          </w:tcPr>
          <w:p w:rsidR="008348DC" w:rsidRPr="008348DC" w:rsidRDefault="008348DC" w:rsidP="008348DC">
            <w:pPr>
              <w:jc w:val="both"/>
            </w:pPr>
          </w:p>
        </w:tc>
        <w:tc>
          <w:tcPr>
            <w:tcW w:w="1593" w:type="dxa"/>
            <w:vMerge/>
          </w:tcPr>
          <w:p w:rsidR="008348DC" w:rsidRPr="008348DC" w:rsidRDefault="008348DC" w:rsidP="008348DC">
            <w:pPr>
              <w:jc w:val="both"/>
            </w:pPr>
          </w:p>
        </w:tc>
        <w:tc>
          <w:tcPr>
            <w:tcW w:w="1465" w:type="dxa"/>
            <w:vMerge/>
          </w:tcPr>
          <w:p w:rsidR="008348DC" w:rsidRPr="008348DC" w:rsidRDefault="008348DC" w:rsidP="008348DC">
            <w:pPr>
              <w:jc w:val="both"/>
            </w:pPr>
          </w:p>
        </w:tc>
        <w:tc>
          <w:tcPr>
            <w:tcW w:w="1602" w:type="dxa"/>
          </w:tcPr>
          <w:p w:rsidR="008348DC" w:rsidRPr="008348DC" w:rsidRDefault="008348DC" w:rsidP="008348DC">
            <w:pPr>
              <w:jc w:val="both"/>
            </w:pPr>
            <w:r w:rsidRPr="008348DC">
              <w:t>Тип (площадь, протяжённость, объем, глубина</w:t>
            </w:r>
          </w:p>
          <w:p w:rsidR="008348DC" w:rsidRPr="008348DC" w:rsidRDefault="008348DC" w:rsidP="008348DC">
            <w:pPr>
              <w:jc w:val="both"/>
            </w:pPr>
            <w:r w:rsidRPr="008348DC">
              <w:t>-для объектов незавершённого строительства)</w:t>
            </w:r>
          </w:p>
        </w:tc>
        <w:tc>
          <w:tcPr>
            <w:tcW w:w="1657" w:type="dxa"/>
          </w:tcPr>
          <w:p w:rsidR="008348DC" w:rsidRPr="008348DC" w:rsidRDefault="008348DC" w:rsidP="008348DC">
            <w:pPr>
              <w:jc w:val="both"/>
            </w:pPr>
            <w:r w:rsidRPr="008348DC">
              <w:t>Фактическое значение/проектируемое (для объектов незавершённого строительства)</w:t>
            </w:r>
          </w:p>
        </w:tc>
        <w:tc>
          <w:tcPr>
            <w:tcW w:w="1417" w:type="dxa"/>
          </w:tcPr>
          <w:p w:rsidR="008348DC" w:rsidRPr="008348DC" w:rsidRDefault="008348DC" w:rsidP="008348DC">
            <w:pPr>
              <w:jc w:val="both"/>
            </w:pPr>
            <w:r w:rsidRPr="008348DC">
              <w:t>Единица измерения</w:t>
            </w:r>
          </w:p>
        </w:tc>
      </w:tr>
      <w:tr w:rsidR="008348DC" w:rsidRPr="008348DC" w:rsidTr="005D423B">
        <w:tc>
          <w:tcPr>
            <w:tcW w:w="496" w:type="dxa"/>
          </w:tcPr>
          <w:p w:rsidR="008348DC" w:rsidRPr="008348DC" w:rsidRDefault="008348DC" w:rsidP="008348DC">
            <w:pPr>
              <w:jc w:val="center"/>
            </w:pPr>
            <w:r w:rsidRPr="008348DC">
              <w:t>1</w:t>
            </w:r>
          </w:p>
        </w:tc>
        <w:tc>
          <w:tcPr>
            <w:tcW w:w="1659" w:type="dxa"/>
          </w:tcPr>
          <w:p w:rsidR="008348DC" w:rsidRPr="008348DC" w:rsidRDefault="008348DC" w:rsidP="008348DC">
            <w:pPr>
              <w:jc w:val="center"/>
            </w:pPr>
            <w:r w:rsidRPr="008348DC">
              <w:t>2</w:t>
            </w:r>
          </w:p>
        </w:tc>
        <w:tc>
          <w:tcPr>
            <w:tcW w:w="1593" w:type="dxa"/>
          </w:tcPr>
          <w:p w:rsidR="008348DC" w:rsidRPr="008348DC" w:rsidRDefault="008348DC" w:rsidP="008348DC">
            <w:pPr>
              <w:jc w:val="center"/>
            </w:pPr>
            <w:r w:rsidRPr="008348DC">
              <w:t>3</w:t>
            </w:r>
          </w:p>
        </w:tc>
        <w:tc>
          <w:tcPr>
            <w:tcW w:w="1465" w:type="dxa"/>
          </w:tcPr>
          <w:p w:rsidR="008348DC" w:rsidRPr="008348DC" w:rsidRDefault="008348DC" w:rsidP="008348DC">
            <w:pPr>
              <w:jc w:val="center"/>
            </w:pPr>
            <w:r w:rsidRPr="008348DC">
              <w:t>4</w:t>
            </w:r>
          </w:p>
        </w:tc>
        <w:tc>
          <w:tcPr>
            <w:tcW w:w="1602" w:type="dxa"/>
          </w:tcPr>
          <w:p w:rsidR="008348DC" w:rsidRPr="008348DC" w:rsidRDefault="008348DC" w:rsidP="008348DC">
            <w:pPr>
              <w:jc w:val="center"/>
            </w:pPr>
            <w:r w:rsidRPr="008348DC">
              <w:t>5</w:t>
            </w:r>
          </w:p>
        </w:tc>
        <w:tc>
          <w:tcPr>
            <w:tcW w:w="1657" w:type="dxa"/>
          </w:tcPr>
          <w:p w:rsidR="008348DC" w:rsidRPr="008348DC" w:rsidRDefault="008348DC" w:rsidP="008348DC">
            <w:pPr>
              <w:jc w:val="center"/>
            </w:pPr>
            <w:r w:rsidRPr="008348DC">
              <w:t>6</w:t>
            </w:r>
          </w:p>
        </w:tc>
        <w:tc>
          <w:tcPr>
            <w:tcW w:w="1417" w:type="dxa"/>
          </w:tcPr>
          <w:p w:rsidR="008348DC" w:rsidRPr="008348DC" w:rsidRDefault="008348DC" w:rsidP="008348DC">
            <w:pPr>
              <w:jc w:val="center"/>
            </w:pPr>
            <w:r w:rsidRPr="008348DC">
              <w:t>7</w:t>
            </w:r>
          </w:p>
        </w:tc>
      </w:tr>
    </w:tbl>
    <w:p w:rsidR="008348DC" w:rsidRPr="008348DC" w:rsidRDefault="008348DC" w:rsidP="008348DC">
      <w:pPr>
        <w:spacing w:after="200" w:line="276" w:lineRule="auto"/>
        <w:jc w:val="center"/>
        <w:rPr>
          <w:rFonts w:ascii="Times New Roman" w:eastAsia="Calibri" w:hAnsi="Times New Roman" w:cs="Times New Roman"/>
          <w:sz w:val="24"/>
          <w:szCs w:val="24"/>
        </w:rPr>
      </w:pPr>
    </w:p>
    <w:tbl>
      <w:tblPr>
        <w:tblStyle w:val="a3"/>
        <w:tblW w:w="9889" w:type="dxa"/>
        <w:tblLayout w:type="fixed"/>
        <w:tblLook w:val="04A0" w:firstRow="1" w:lastRow="0" w:firstColumn="1" w:lastColumn="0" w:noHBand="0" w:noVBand="1"/>
      </w:tblPr>
      <w:tblGrid>
        <w:gridCol w:w="796"/>
        <w:gridCol w:w="1372"/>
        <w:gridCol w:w="1471"/>
        <w:gridCol w:w="1096"/>
        <w:gridCol w:w="1043"/>
        <w:gridCol w:w="855"/>
        <w:gridCol w:w="930"/>
        <w:gridCol w:w="945"/>
        <w:gridCol w:w="1381"/>
      </w:tblGrid>
      <w:tr w:rsidR="008348DC" w:rsidRPr="008348DC" w:rsidTr="005D423B">
        <w:trPr>
          <w:trHeight w:val="165"/>
        </w:trPr>
        <w:tc>
          <w:tcPr>
            <w:tcW w:w="5778" w:type="dxa"/>
            <w:gridSpan w:val="5"/>
          </w:tcPr>
          <w:p w:rsidR="008348DC" w:rsidRPr="008348DC" w:rsidRDefault="008348DC" w:rsidP="008348DC">
            <w:pPr>
              <w:tabs>
                <w:tab w:val="left" w:pos="5325"/>
              </w:tabs>
              <w:jc w:val="center"/>
            </w:pPr>
            <w:r w:rsidRPr="008348DC">
              <w:t xml:space="preserve">Сведения о недвижимом имуществе </w:t>
            </w:r>
          </w:p>
        </w:tc>
        <w:tc>
          <w:tcPr>
            <w:tcW w:w="4111" w:type="dxa"/>
            <w:gridSpan w:val="4"/>
          </w:tcPr>
          <w:p w:rsidR="008348DC" w:rsidRPr="008348DC" w:rsidRDefault="008348DC" w:rsidP="008348DC">
            <w:pPr>
              <w:tabs>
                <w:tab w:val="left" w:pos="5325"/>
              </w:tabs>
              <w:jc w:val="center"/>
            </w:pPr>
            <w:r w:rsidRPr="008348DC">
              <w:t xml:space="preserve">Сведения о движимом имуществе </w:t>
            </w:r>
          </w:p>
        </w:tc>
      </w:tr>
      <w:tr w:rsidR="008348DC" w:rsidRPr="008348DC" w:rsidTr="005D423B">
        <w:trPr>
          <w:trHeight w:val="180"/>
        </w:trPr>
        <w:tc>
          <w:tcPr>
            <w:tcW w:w="2168" w:type="dxa"/>
            <w:gridSpan w:val="2"/>
          </w:tcPr>
          <w:p w:rsidR="008348DC" w:rsidRPr="008348DC" w:rsidRDefault="008348DC" w:rsidP="008348DC">
            <w:pPr>
              <w:tabs>
                <w:tab w:val="left" w:pos="5325"/>
              </w:tabs>
              <w:jc w:val="center"/>
            </w:pPr>
            <w:r w:rsidRPr="008348DC">
              <w:t>Кадастровый номер</w:t>
            </w:r>
          </w:p>
        </w:tc>
        <w:tc>
          <w:tcPr>
            <w:tcW w:w="1471" w:type="dxa"/>
            <w:vMerge w:val="restart"/>
          </w:tcPr>
          <w:p w:rsidR="008348DC" w:rsidRPr="008348DC" w:rsidRDefault="008348DC" w:rsidP="008348DC">
            <w:pPr>
              <w:tabs>
                <w:tab w:val="left" w:pos="5325"/>
              </w:tabs>
              <w:jc w:val="center"/>
            </w:pPr>
            <w:r w:rsidRPr="008348DC">
              <w:t>Техническое состояние объекта недвижимости</w:t>
            </w:r>
          </w:p>
          <w:p w:rsidR="008348DC" w:rsidRPr="008348DC" w:rsidRDefault="008348DC" w:rsidP="008348DC">
            <w:pPr>
              <w:tabs>
                <w:tab w:val="left" w:pos="5325"/>
              </w:tabs>
              <w:jc w:val="center"/>
            </w:pPr>
            <w:r w:rsidRPr="008348DC">
              <w:t>(</w:t>
            </w:r>
            <w:proofErr w:type="gramStart"/>
            <w:r w:rsidRPr="008348DC">
              <w:t>пригодно</w:t>
            </w:r>
            <w:proofErr w:type="gramEnd"/>
            <w:r w:rsidRPr="008348DC">
              <w:t>, требуется текущий ремонт или капитальный)</w:t>
            </w:r>
          </w:p>
        </w:tc>
        <w:tc>
          <w:tcPr>
            <w:tcW w:w="1096" w:type="dxa"/>
            <w:vMerge w:val="restart"/>
          </w:tcPr>
          <w:p w:rsidR="008348DC" w:rsidRPr="008348DC" w:rsidRDefault="008348DC" w:rsidP="008348DC">
            <w:pPr>
              <w:tabs>
                <w:tab w:val="left" w:pos="5325"/>
              </w:tabs>
              <w:jc w:val="center"/>
            </w:pPr>
            <w:r w:rsidRPr="008348DC">
              <w:t>Категория земель</w:t>
            </w:r>
          </w:p>
          <w:p w:rsidR="008348DC" w:rsidRPr="008348DC" w:rsidRDefault="008348DC" w:rsidP="008348DC">
            <w:pPr>
              <w:tabs>
                <w:tab w:val="left" w:pos="5325"/>
              </w:tabs>
              <w:jc w:val="center"/>
            </w:pPr>
          </w:p>
        </w:tc>
        <w:tc>
          <w:tcPr>
            <w:tcW w:w="1043" w:type="dxa"/>
            <w:vMerge w:val="restart"/>
          </w:tcPr>
          <w:p w:rsidR="008348DC" w:rsidRPr="008348DC" w:rsidRDefault="008348DC" w:rsidP="008348DC">
            <w:pPr>
              <w:tabs>
                <w:tab w:val="left" w:pos="5325"/>
              </w:tabs>
              <w:jc w:val="center"/>
            </w:pPr>
            <w:proofErr w:type="gramStart"/>
            <w:r w:rsidRPr="008348DC">
              <w:t>вид</w:t>
            </w:r>
            <w:proofErr w:type="gramEnd"/>
            <w:r w:rsidRPr="008348DC">
              <w:t xml:space="preserve"> разрешённого использования</w:t>
            </w:r>
          </w:p>
        </w:tc>
        <w:tc>
          <w:tcPr>
            <w:tcW w:w="855" w:type="dxa"/>
            <w:vMerge w:val="restart"/>
          </w:tcPr>
          <w:p w:rsidR="008348DC" w:rsidRPr="008348DC" w:rsidRDefault="008348DC" w:rsidP="008348DC">
            <w:pPr>
              <w:tabs>
                <w:tab w:val="left" w:pos="5325"/>
              </w:tabs>
              <w:jc w:val="center"/>
            </w:pPr>
            <w:r w:rsidRPr="008348DC">
              <w:t>Гос. регистрационный знак</w:t>
            </w:r>
          </w:p>
        </w:tc>
        <w:tc>
          <w:tcPr>
            <w:tcW w:w="930" w:type="dxa"/>
            <w:vMerge w:val="restart"/>
          </w:tcPr>
          <w:p w:rsidR="008348DC" w:rsidRPr="008348DC" w:rsidRDefault="008348DC" w:rsidP="008348DC">
            <w:pPr>
              <w:tabs>
                <w:tab w:val="left" w:pos="5325"/>
              </w:tabs>
              <w:jc w:val="center"/>
            </w:pPr>
            <w:r w:rsidRPr="008348DC">
              <w:t>Марка, модель</w:t>
            </w:r>
          </w:p>
        </w:tc>
        <w:tc>
          <w:tcPr>
            <w:tcW w:w="945" w:type="dxa"/>
            <w:vMerge w:val="restart"/>
          </w:tcPr>
          <w:p w:rsidR="008348DC" w:rsidRPr="008348DC" w:rsidRDefault="008348DC" w:rsidP="008348DC">
            <w:pPr>
              <w:tabs>
                <w:tab w:val="left" w:pos="5325"/>
              </w:tabs>
              <w:jc w:val="center"/>
            </w:pPr>
            <w:r w:rsidRPr="008348DC">
              <w:t>Год выпуска</w:t>
            </w:r>
          </w:p>
        </w:tc>
        <w:tc>
          <w:tcPr>
            <w:tcW w:w="1381" w:type="dxa"/>
            <w:vMerge w:val="restart"/>
          </w:tcPr>
          <w:p w:rsidR="008348DC" w:rsidRPr="008348DC" w:rsidRDefault="008348DC" w:rsidP="008348DC">
            <w:pPr>
              <w:tabs>
                <w:tab w:val="left" w:pos="5325"/>
              </w:tabs>
              <w:jc w:val="center"/>
            </w:pPr>
            <w:r w:rsidRPr="008348DC">
              <w:t>Состав (принадлежности) имущества</w:t>
            </w:r>
          </w:p>
        </w:tc>
      </w:tr>
      <w:tr w:rsidR="008348DC" w:rsidRPr="008348DC" w:rsidTr="005D423B">
        <w:trPr>
          <w:trHeight w:val="195"/>
        </w:trPr>
        <w:tc>
          <w:tcPr>
            <w:tcW w:w="796" w:type="dxa"/>
          </w:tcPr>
          <w:p w:rsidR="008348DC" w:rsidRPr="008348DC" w:rsidRDefault="008348DC" w:rsidP="008348DC">
            <w:pPr>
              <w:tabs>
                <w:tab w:val="left" w:pos="5325"/>
              </w:tabs>
              <w:jc w:val="center"/>
            </w:pPr>
            <w:proofErr w:type="gramStart"/>
            <w:r w:rsidRPr="008348DC">
              <w:t>номер</w:t>
            </w:r>
            <w:proofErr w:type="gramEnd"/>
          </w:p>
        </w:tc>
        <w:tc>
          <w:tcPr>
            <w:tcW w:w="1372" w:type="dxa"/>
          </w:tcPr>
          <w:p w:rsidR="008348DC" w:rsidRPr="008348DC" w:rsidRDefault="008348DC" w:rsidP="008348DC">
            <w:pPr>
              <w:tabs>
                <w:tab w:val="left" w:pos="5325"/>
              </w:tabs>
              <w:jc w:val="center"/>
            </w:pPr>
            <w:r w:rsidRPr="008348DC">
              <w:t>Тип (условный, кадастровый)</w:t>
            </w:r>
          </w:p>
        </w:tc>
        <w:tc>
          <w:tcPr>
            <w:tcW w:w="1471" w:type="dxa"/>
            <w:vMerge/>
          </w:tcPr>
          <w:p w:rsidR="008348DC" w:rsidRPr="008348DC" w:rsidRDefault="008348DC" w:rsidP="008348DC">
            <w:pPr>
              <w:tabs>
                <w:tab w:val="left" w:pos="5325"/>
              </w:tabs>
              <w:jc w:val="center"/>
            </w:pPr>
          </w:p>
        </w:tc>
        <w:tc>
          <w:tcPr>
            <w:tcW w:w="1096" w:type="dxa"/>
            <w:vMerge/>
          </w:tcPr>
          <w:p w:rsidR="008348DC" w:rsidRPr="008348DC" w:rsidRDefault="008348DC" w:rsidP="008348DC">
            <w:pPr>
              <w:tabs>
                <w:tab w:val="left" w:pos="5325"/>
              </w:tabs>
              <w:jc w:val="center"/>
            </w:pPr>
          </w:p>
        </w:tc>
        <w:tc>
          <w:tcPr>
            <w:tcW w:w="1043" w:type="dxa"/>
            <w:vMerge/>
          </w:tcPr>
          <w:p w:rsidR="008348DC" w:rsidRPr="008348DC" w:rsidRDefault="008348DC" w:rsidP="008348DC">
            <w:pPr>
              <w:tabs>
                <w:tab w:val="left" w:pos="5325"/>
              </w:tabs>
              <w:jc w:val="center"/>
            </w:pPr>
          </w:p>
        </w:tc>
        <w:tc>
          <w:tcPr>
            <w:tcW w:w="855" w:type="dxa"/>
            <w:vMerge/>
          </w:tcPr>
          <w:p w:rsidR="008348DC" w:rsidRPr="008348DC" w:rsidRDefault="008348DC" w:rsidP="008348DC">
            <w:pPr>
              <w:tabs>
                <w:tab w:val="left" w:pos="5325"/>
              </w:tabs>
              <w:jc w:val="center"/>
            </w:pPr>
          </w:p>
        </w:tc>
        <w:tc>
          <w:tcPr>
            <w:tcW w:w="930" w:type="dxa"/>
            <w:vMerge/>
          </w:tcPr>
          <w:p w:rsidR="008348DC" w:rsidRPr="008348DC" w:rsidRDefault="008348DC" w:rsidP="008348DC">
            <w:pPr>
              <w:tabs>
                <w:tab w:val="left" w:pos="5325"/>
              </w:tabs>
              <w:jc w:val="center"/>
            </w:pPr>
          </w:p>
        </w:tc>
        <w:tc>
          <w:tcPr>
            <w:tcW w:w="945" w:type="dxa"/>
            <w:vMerge/>
          </w:tcPr>
          <w:p w:rsidR="008348DC" w:rsidRPr="008348DC" w:rsidRDefault="008348DC" w:rsidP="008348DC">
            <w:pPr>
              <w:tabs>
                <w:tab w:val="left" w:pos="5325"/>
              </w:tabs>
              <w:jc w:val="center"/>
            </w:pPr>
          </w:p>
        </w:tc>
        <w:tc>
          <w:tcPr>
            <w:tcW w:w="1381" w:type="dxa"/>
            <w:vMerge/>
          </w:tcPr>
          <w:p w:rsidR="008348DC" w:rsidRPr="008348DC" w:rsidRDefault="008348DC" w:rsidP="008348DC">
            <w:pPr>
              <w:tabs>
                <w:tab w:val="left" w:pos="5325"/>
              </w:tabs>
              <w:jc w:val="center"/>
            </w:pPr>
          </w:p>
        </w:tc>
      </w:tr>
      <w:tr w:rsidR="008348DC" w:rsidRPr="008348DC" w:rsidTr="005D423B">
        <w:tc>
          <w:tcPr>
            <w:tcW w:w="796" w:type="dxa"/>
          </w:tcPr>
          <w:p w:rsidR="008348DC" w:rsidRPr="008348DC" w:rsidRDefault="008348DC" w:rsidP="008348DC">
            <w:pPr>
              <w:tabs>
                <w:tab w:val="left" w:pos="5325"/>
              </w:tabs>
              <w:jc w:val="center"/>
            </w:pPr>
            <w:r w:rsidRPr="008348DC">
              <w:t>8</w:t>
            </w:r>
          </w:p>
        </w:tc>
        <w:tc>
          <w:tcPr>
            <w:tcW w:w="1372" w:type="dxa"/>
          </w:tcPr>
          <w:p w:rsidR="008348DC" w:rsidRPr="008348DC" w:rsidRDefault="008348DC" w:rsidP="008348DC">
            <w:pPr>
              <w:tabs>
                <w:tab w:val="left" w:pos="5325"/>
              </w:tabs>
              <w:jc w:val="center"/>
            </w:pPr>
            <w:r w:rsidRPr="008348DC">
              <w:t>9</w:t>
            </w:r>
          </w:p>
        </w:tc>
        <w:tc>
          <w:tcPr>
            <w:tcW w:w="1471" w:type="dxa"/>
          </w:tcPr>
          <w:p w:rsidR="008348DC" w:rsidRPr="008348DC" w:rsidRDefault="008348DC" w:rsidP="008348DC">
            <w:pPr>
              <w:tabs>
                <w:tab w:val="left" w:pos="5325"/>
              </w:tabs>
              <w:jc w:val="center"/>
            </w:pPr>
            <w:r w:rsidRPr="008348DC">
              <w:t>10</w:t>
            </w:r>
          </w:p>
        </w:tc>
        <w:tc>
          <w:tcPr>
            <w:tcW w:w="1096" w:type="dxa"/>
          </w:tcPr>
          <w:p w:rsidR="008348DC" w:rsidRPr="008348DC" w:rsidRDefault="008348DC" w:rsidP="008348DC">
            <w:pPr>
              <w:tabs>
                <w:tab w:val="left" w:pos="5325"/>
              </w:tabs>
              <w:jc w:val="center"/>
            </w:pPr>
            <w:r w:rsidRPr="008348DC">
              <w:t>11</w:t>
            </w:r>
          </w:p>
        </w:tc>
        <w:tc>
          <w:tcPr>
            <w:tcW w:w="1043" w:type="dxa"/>
          </w:tcPr>
          <w:p w:rsidR="008348DC" w:rsidRPr="008348DC" w:rsidRDefault="008348DC" w:rsidP="008348DC">
            <w:pPr>
              <w:tabs>
                <w:tab w:val="left" w:pos="5325"/>
              </w:tabs>
              <w:jc w:val="center"/>
            </w:pPr>
            <w:r w:rsidRPr="008348DC">
              <w:t>12</w:t>
            </w:r>
          </w:p>
        </w:tc>
        <w:tc>
          <w:tcPr>
            <w:tcW w:w="855" w:type="dxa"/>
          </w:tcPr>
          <w:p w:rsidR="008348DC" w:rsidRPr="008348DC" w:rsidRDefault="008348DC" w:rsidP="008348DC">
            <w:pPr>
              <w:tabs>
                <w:tab w:val="left" w:pos="5325"/>
              </w:tabs>
              <w:jc w:val="center"/>
            </w:pPr>
            <w:r w:rsidRPr="008348DC">
              <w:t>13</w:t>
            </w:r>
          </w:p>
        </w:tc>
        <w:tc>
          <w:tcPr>
            <w:tcW w:w="930" w:type="dxa"/>
          </w:tcPr>
          <w:p w:rsidR="008348DC" w:rsidRPr="008348DC" w:rsidRDefault="008348DC" w:rsidP="008348DC">
            <w:pPr>
              <w:tabs>
                <w:tab w:val="left" w:pos="5325"/>
              </w:tabs>
              <w:jc w:val="center"/>
            </w:pPr>
            <w:r w:rsidRPr="008348DC">
              <w:t>14</w:t>
            </w:r>
          </w:p>
        </w:tc>
        <w:tc>
          <w:tcPr>
            <w:tcW w:w="945" w:type="dxa"/>
          </w:tcPr>
          <w:p w:rsidR="008348DC" w:rsidRPr="008348DC" w:rsidRDefault="008348DC" w:rsidP="008348DC">
            <w:pPr>
              <w:tabs>
                <w:tab w:val="left" w:pos="5325"/>
              </w:tabs>
              <w:jc w:val="center"/>
            </w:pPr>
            <w:r w:rsidRPr="008348DC">
              <w:t>15</w:t>
            </w:r>
          </w:p>
        </w:tc>
        <w:tc>
          <w:tcPr>
            <w:tcW w:w="1381" w:type="dxa"/>
          </w:tcPr>
          <w:p w:rsidR="008348DC" w:rsidRPr="008348DC" w:rsidRDefault="008348DC" w:rsidP="008348DC">
            <w:pPr>
              <w:tabs>
                <w:tab w:val="left" w:pos="5325"/>
              </w:tabs>
              <w:jc w:val="center"/>
            </w:pPr>
            <w:r w:rsidRPr="008348DC">
              <w:t>16</w:t>
            </w:r>
          </w:p>
        </w:tc>
      </w:tr>
    </w:tbl>
    <w:p w:rsidR="008348DC" w:rsidRPr="008348DC" w:rsidRDefault="008348DC" w:rsidP="008348DC">
      <w:pPr>
        <w:tabs>
          <w:tab w:val="left" w:pos="315"/>
          <w:tab w:val="left" w:pos="2430"/>
        </w:tabs>
        <w:spacing w:after="200" w:line="276" w:lineRule="auto"/>
        <w:rPr>
          <w:rFonts w:ascii="Calibri" w:eastAsia="Calibri" w:hAnsi="Calibri" w:cs="Times New Roman"/>
          <w:sz w:val="24"/>
          <w:szCs w:val="24"/>
          <w:lang w:eastAsia="ru-RU"/>
        </w:rPr>
      </w:pPr>
      <w:r w:rsidRPr="008348DC">
        <w:rPr>
          <w:rFonts w:ascii="Times New Roman" w:eastAsia="Calibri" w:hAnsi="Times New Roman" w:cs="Times New Roman"/>
          <w:sz w:val="24"/>
          <w:szCs w:val="24"/>
          <w:lang w:eastAsia="ru-RU"/>
        </w:rPr>
        <w:tab/>
      </w:r>
    </w:p>
    <w:tbl>
      <w:tblPr>
        <w:tblStyle w:val="a3"/>
        <w:tblW w:w="9889" w:type="dxa"/>
        <w:tblLayout w:type="fixed"/>
        <w:tblLook w:val="04A0" w:firstRow="1" w:lastRow="0" w:firstColumn="1" w:lastColumn="0" w:noHBand="0" w:noVBand="1"/>
      </w:tblPr>
      <w:tblGrid>
        <w:gridCol w:w="1641"/>
        <w:gridCol w:w="1640"/>
        <w:gridCol w:w="1363"/>
        <w:gridCol w:w="1701"/>
        <w:gridCol w:w="993"/>
        <w:gridCol w:w="1134"/>
        <w:gridCol w:w="1417"/>
      </w:tblGrid>
      <w:tr w:rsidR="008348DC" w:rsidRPr="008348DC" w:rsidTr="005D423B">
        <w:tc>
          <w:tcPr>
            <w:tcW w:w="9889" w:type="dxa"/>
            <w:gridSpan w:val="7"/>
          </w:tcPr>
          <w:p w:rsidR="008348DC" w:rsidRPr="008348DC" w:rsidRDefault="008348DC" w:rsidP="008348DC">
            <w:pPr>
              <w:tabs>
                <w:tab w:val="left" w:pos="2430"/>
              </w:tabs>
              <w:jc w:val="center"/>
            </w:pPr>
            <w:r w:rsidRPr="008348DC">
              <w:lastRenderedPageBreak/>
              <w:t>Сведения о правообладателях и о правах третьих лиц имущества</w:t>
            </w:r>
          </w:p>
        </w:tc>
      </w:tr>
      <w:tr w:rsidR="008348DC" w:rsidRPr="008348DC" w:rsidTr="005D423B">
        <w:tc>
          <w:tcPr>
            <w:tcW w:w="3281" w:type="dxa"/>
            <w:gridSpan w:val="2"/>
          </w:tcPr>
          <w:p w:rsidR="008348DC" w:rsidRPr="008348DC" w:rsidRDefault="008348DC" w:rsidP="008348DC">
            <w:pPr>
              <w:tabs>
                <w:tab w:val="left" w:pos="2430"/>
              </w:tabs>
            </w:pPr>
            <w:r w:rsidRPr="008348DC">
              <w:t>Для договоров аренды и безвозмездного пользования</w:t>
            </w:r>
          </w:p>
        </w:tc>
        <w:tc>
          <w:tcPr>
            <w:tcW w:w="1363" w:type="dxa"/>
            <w:vMerge w:val="restart"/>
          </w:tcPr>
          <w:p w:rsidR="008348DC" w:rsidRPr="008348DC" w:rsidRDefault="008348DC" w:rsidP="008348DC">
            <w:pPr>
              <w:tabs>
                <w:tab w:val="left" w:pos="2430"/>
              </w:tabs>
            </w:pPr>
            <w:r w:rsidRPr="008348DC">
              <w:t>Наименование правообладателя (собственника)</w:t>
            </w:r>
          </w:p>
        </w:tc>
        <w:tc>
          <w:tcPr>
            <w:tcW w:w="1701" w:type="dxa"/>
            <w:vMerge w:val="restart"/>
          </w:tcPr>
          <w:p w:rsidR="008348DC" w:rsidRPr="008348DC" w:rsidRDefault="008348DC" w:rsidP="008348DC">
            <w:pPr>
              <w:tabs>
                <w:tab w:val="left" w:pos="2430"/>
              </w:tabs>
            </w:pPr>
            <w:r w:rsidRPr="008348DC">
              <w:t>Наличие ограниченного вещного права (для казны- указываем «нет», хозяйственное ведение, оперативное управление)</w:t>
            </w:r>
          </w:p>
        </w:tc>
        <w:tc>
          <w:tcPr>
            <w:tcW w:w="993" w:type="dxa"/>
            <w:vMerge w:val="restart"/>
          </w:tcPr>
          <w:p w:rsidR="008348DC" w:rsidRPr="008348DC" w:rsidRDefault="008348DC" w:rsidP="008348DC">
            <w:pPr>
              <w:tabs>
                <w:tab w:val="left" w:pos="2430"/>
              </w:tabs>
            </w:pPr>
            <w:r w:rsidRPr="008348DC">
              <w:t xml:space="preserve">ИНН правообладателя </w:t>
            </w:r>
          </w:p>
        </w:tc>
        <w:tc>
          <w:tcPr>
            <w:tcW w:w="1134" w:type="dxa"/>
            <w:vMerge w:val="restart"/>
          </w:tcPr>
          <w:p w:rsidR="008348DC" w:rsidRPr="008348DC" w:rsidRDefault="008348DC" w:rsidP="008348DC">
            <w:pPr>
              <w:tabs>
                <w:tab w:val="left" w:pos="2430"/>
              </w:tabs>
            </w:pPr>
            <w:r w:rsidRPr="008348DC">
              <w:t>Контактный номер</w:t>
            </w:r>
          </w:p>
        </w:tc>
        <w:tc>
          <w:tcPr>
            <w:tcW w:w="1417" w:type="dxa"/>
            <w:vMerge w:val="restart"/>
          </w:tcPr>
          <w:p w:rsidR="008348DC" w:rsidRPr="008348DC" w:rsidRDefault="008348DC" w:rsidP="008348DC">
            <w:pPr>
              <w:tabs>
                <w:tab w:val="left" w:pos="2430"/>
              </w:tabs>
            </w:pPr>
            <w:r w:rsidRPr="008348DC">
              <w:t>Электронный адрес</w:t>
            </w:r>
          </w:p>
        </w:tc>
      </w:tr>
      <w:tr w:rsidR="008348DC" w:rsidRPr="008348DC" w:rsidTr="005D423B">
        <w:tc>
          <w:tcPr>
            <w:tcW w:w="1641" w:type="dxa"/>
          </w:tcPr>
          <w:p w:rsidR="008348DC" w:rsidRPr="008348DC" w:rsidRDefault="008348DC" w:rsidP="008348DC">
            <w:pPr>
              <w:tabs>
                <w:tab w:val="left" w:pos="2430"/>
              </w:tabs>
            </w:pPr>
            <w:r w:rsidRPr="008348DC">
              <w:t xml:space="preserve">Наличие права аренды или безвозмездного пользования (да/нет) </w:t>
            </w:r>
          </w:p>
        </w:tc>
        <w:tc>
          <w:tcPr>
            <w:tcW w:w="1640" w:type="dxa"/>
          </w:tcPr>
          <w:p w:rsidR="008348DC" w:rsidRPr="008348DC" w:rsidRDefault="008348DC" w:rsidP="008348DC">
            <w:pPr>
              <w:tabs>
                <w:tab w:val="left" w:pos="2430"/>
              </w:tabs>
            </w:pPr>
            <w:r w:rsidRPr="008348DC">
              <w:t>Дата окончания срока действия договора (при наличии)</w:t>
            </w:r>
          </w:p>
        </w:tc>
        <w:tc>
          <w:tcPr>
            <w:tcW w:w="1363" w:type="dxa"/>
            <w:vMerge/>
          </w:tcPr>
          <w:p w:rsidR="008348DC" w:rsidRPr="008348DC" w:rsidRDefault="008348DC" w:rsidP="008348DC">
            <w:pPr>
              <w:tabs>
                <w:tab w:val="left" w:pos="2430"/>
              </w:tabs>
            </w:pPr>
          </w:p>
        </w:tc>
        <w:tc>
          <w:tcPr>
            <w:tcW w:w="1701" w:type="dxa"/>
            <w:vMerge/>
          </w:tcPr>
          <w:p w:rsidR="008348DC" w:rsidRPr="008348DC" w:rsidRDefault="008348DC" w:rsidP="008348DC">
            <w:pPr>
              <w:tabs>
                <w:tab w:val="left" w:pos="2430"/>
              </w:tabs>
            </w:pPr>
          </w:p>
        </w:tc>
        <w:tc>
          <w:tcPr>
            <w:tcW w:w="993" w:type="dxa"/>
            <w:vMerge/>
          </w:tcPr>
          <w:p w:rsidR="008348DC" w:rsidRPr="008348DC" w:rsidRDefault="008348DC" w:rsidP="008348DC">
            <w:pPr>
              <w:tabs>
                <w:tab w:val="left" w:pos="2430"/>
              </w:tabs>
            </w:pPr>
          </w:p>
        </w:tc>
        <w:tc>
          <w:tcPr>
            <w:tcW w:w="1134" w:type="dxa"/>
            <w:vMerge/>
          </w:tcPr>
          <w:p w:rsidR="008348DC" w:rsidRPr="008348DC" w:rsidRDefault="008348DC" w:rsidP="008348DC">
            <w:pPr>
              <w:tabs>
                <w:tab w:val="left" w:pos="2430"/>
              </w:tabs>
            </w:pPr>
          </w:p>
        </w:tc>
        <w:tc>
          <w:tcPr>
            <w:tcW w:w="1417" w:type="dxa"/>
            <w:vMerge/>
          </w:tcPr>
          <w:p w:rsidR="008348DC" w:rsidRPr="008348DC" w:rsidRDefault="008348DC" w:rsidP="008348DC">
            <w:pPr>
              <w:tabs>
                <w:tab w:val="left" w:pos="2430"/>
              </w:tabs>
            </w:pPr>
          </w:p>
        </w:tc>
      </w:tr>
      <w:tr w:rsidR="008348DC" w:rsidRPr="008348DC" w:rsidTr="005D423B">
        <w:tc>
          <w:tcPr>
            <w:tcW w:w="1641" w:type="dxa"/>
          </w:tcPr>
          <w:p w:rsidR="008348DC" w:rsidRPr="008348DC" w:rsidRDefault="008348DC" w:rsidP="008348DC">
            <w:pPr>
              <w:tabs>
                <w:tab w:val="left" w:pos="2430"/>
              </w:tabs>
              <w:jc w:val="center"/>
            </w:pPr>
            <w:r w:rsidRPr="008348DC">
              <w:t>17</w:t>
            </w:r>
          </w:p>
        </w:tc>
        <w:tc>
          <w:tcPr>
            <w:tcW w:w="1640" w:type="dxa"/>
          </w:tcPr>
          <w:p w:rsidR="008348DC" w:rsidRPr="008348DC" w:rsidRDefault="008348DC" w:rsidP="008348DC">
            <w:pPr>
              <w:tabs>
                <w:tab w:val="left" w:pos="2430"/>
              </w:tabs>
              <w:jc w:val="center"/>
            </w:pPr>
            <w:r w:rsidRPr="008348DC">
              <w:t>18</w:t>
            </w:r>
          </w:p>
        </w:tc>
        <w:tc>
          <w:tcPr>
            <w:tcW w:w="1363" w:type="dxa"/>
          </w:tcPr>
          <w:p w:rsidR="008348DC" w:rsidRPr="008348DC" w:rsidRDefault="008348DC" w:rsidP="008348DC">
            <w:pPr>
              <w:tabs>
                <w:tab w:val="left" w:pos="2430"/>
              </w:tabs>
              <w:jc w:val="center"/>
            </w:pPr>
            <w:r w:rsidRPr="008348DC">
              <w:t>19</w:t>
            </w:r>
          </w:p>
        </w:tc>
        <w:tc>
          <w:tcPr>
            <w:tcW w:w="1701" w:type="dxa"/>
          </w:tcPr>
          <w:p w:rsidR="008348DC" w:rsidRPr="008348DC" w:rsidRDefault="008348DC" w:rsidP="008348DC">
            <w:pPr>
              <w:tabs>
                <w:tab w:val="left" w:pos="2430"/>
              </w:tabs>
              <w:jc w:val="center"/>
            </w:pPr>
            <w:r w:rsidRPr="008348DC">
              <w:t>20</w:t>
            </w:r>
          </w:p>
        </w:tc>
        <w:tc>
          <w:tcPr>
            <w:tcW w:w="993" w:type="dxa"/>
          </w:tcPr>
          <w:p w:rsidR="008348DC" w:rsidRPr="008348DC" w:rsidRDefault="008348DC" w:rsidP="008348DC">
            <w:pPr>
              <w:tabs>
                <w:tab w:val="left" w:pos="2430"/>
              </w:tabs>
              <w:jc w:val="center"/>
            </w:pPr>
            <w:r w:rsidRPr="008348DC">
              <w:t>21</w:t>
            </w:r>
          </w:p>
        </w:tc>
        <w:tc>
          <w:tcPr>
            <w:tcW w:w="1134" w:type="dxa"/>
          </w:tcPr>
          <w:p w:rsidR="008348DC" w:rsidRPr="008348DC" w:rsidRDefault="008348DC" w:rsidP="008348DC">
            <w:pPr>
              <w:tabs>
                <w:tab w:val="left" w:pos="2430"/>
              </w:tabs>
              <w:jc w:val="center"/>
            </w:pPr>
            <w:r w:rsidRPr="008348DC">
              <w:t>22</w:t>
            </w:r>
          </w:p>
        </w:tc>
        <w:tc>
          <w:tcPr>
            <w:tcW w:w="1417" w:type="dxa"/>
          </w:tcPr>
          <w:p w:rsidR="008348DC" w:rsidRPr="008348DC" w:rsidRDefault="008348DC" w:rsidP="008348DC">
            <w:pPr>
              <w:tabs>
                <w:tab w:val="left" w:pos="2430"/>
              </w:tabs>
              <w:jc w:val="center"/>
            </w:pPr>
            <w:r w:rsidRPr="008348DC">
              <w:t>23</w:t>
            </w:r>
          </w:p>
        </w:tc>
      </w:tr>
    </w:tbl>
    <w:p w:rsidR="008348DC" w:rsidRPr="008348DC" w:rsidRDefault="008348DC" w:rsidP="008348DC">
      <w:pPr>
        <w:tabs>
          <w:tab w:val="left" w:pos="5103"/>
        </w:tabs>
        <w:spacing w:after="200" w:line="276" w:lineRule="auto"/>
        <w:ind w:firstLine="709"/>
        <w:jc w:val="both"/>
        <w:rPr>
          <w:rFonts w:ascii="Calibri" w:eastAsia="Calibri" w:hAnsi="Calibri" w:cs="Times New Roman"/>
          <w:sz w:val="28"/>
          <w:szCs w:val="28"/>
        </w:rPr>
      </w:pPr>
    </w:p>
    <w:p w:rsidR="008348DC" w:rsidRPr="008348DC" w:rsidRDefault="008348DC" w:rsidP="008348DC">
      <w:pPr>
        <w:tabs>
          <w:tab w:val="left" w:pos="567"/>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4"/>
          <w:szCs w:val="24"/>
        </w:rPr>
        <w:tab/>
      </w:r>
      <w:r w:rsidR="00F66584">
        <w:rPr>
          <w:rFonts w:ascii="Times New Roman" w:eastAsia="Calibri" w:hAnsi="Times New Roman" w:cs="Times New Roman"/>
          <w:b/>
          <w:sz w:val="24"/>
          <w:szCs w:val="24"/>
        </w:rPr>
        <w:tab/>
      </w:r>
      <w:r w:rsidRPr="00F00070">
        <w:rPr>
          <w:rFonts w:ascii="Times New Roman" w:eastAsia="Calibri" w:hAnsi="Times New Roman" w:cs="Times New Roman"/>
          <w:sz w:val="28"/>
          <w:szCs w:val="28"/>
        </w:rPr>
        <w:t>2.</w:t>
      </w:r>
      <w:r w:rsidRPr="008348DC">
        <w:rPr>
          <w:rFonts w:ascii="Times New Roman" w:eastAsia="Calibri" w:hAnsi="Times New Roman" w:cs="Times New Roman"/>
          <w:sz w:val="28"/>
          <w:szCs w:val="28"/>
        </w:rPr>
        <w:t xml:space="preserve">Решения </w:t>
      </w:r>
      <w:r w:rsidR="00F00070" w:rsidRPr="00F00070">
        <w:rPr>
          <w:rFonts w:ascii="Times New Roman" w:eastAsia="Calibri" w:hAnsi="Times New Roman" w:cs="Times New Roman"/>
          <w:sz w:val="28"/>
          <w:szCs w:val="28"/>
        </w:rPr>
        <w:t xml:space="preserve">сельского </w:t>
      </w:r>
      <w:r w:rsidRPr="008348DC">
        <w:rPr>
          <w:rFonts w:ascii="Times New Roman" w:eastAsia="Calibri" w:hAnsi="Times New Roman" w:cs="Times New Roman"/>
          <w:sz w:val="28"/>
          <w:szCs w:val="28"/>
        </w:rPr>
        <w:t>Совета народных депутатов</w:t>
      </w:r>
      <w:r w:rsidR="00F00070" w:rsidRPr="00F00070">
        <w:rPr>
          <w:rFonts w:ascii="Times New Roman" w:eastAsia="Times New Roman" w:hAnsi="Times New Roman" w:cs="Times New Roman"/>
          <w:sz w:val="28"/>
          <w:szCs w:val="28"/>
          <w:lang w:eastAsia="ru-RU"/>
        </w:rPr>
        <w:t xml:space="preserve"> Николо-Александровского сельсовета</w:t>
      </w:r>
      <w:r w:rsidR="00F00070">
        <w:rPr>
          <w:rFonts w:ascii="Times New Roman" w:eastAsia="Calibri" w:hAnsi="Times New Roman" w:cs="Times New Roman"/>
          <w:sz w:val="28"/>
          <w:szCs w:val="28"/>
        </w:rPr>
        <w:t xml:space="preserve"> Амурской области от 11.10</w:t>
      </w:r>
      <w:r w:rsidRPr="008348DC">
        <w:rPr>
          <w:rFonts w:ascii="Times New Roman" w:eastAsia="Calibri" w:hAnsi="Times New Roman" w:cs="Times New Roman"/>
          <w:sz w:val="28"/>
          <w:szCs w:val="28"/>
        </w:rPr>
        <w:t>.</w:t>
      </w:r>
      <w:r w:rsidR="00F00070">
        <w:rPr>
          <w:rFonts w:ascii="Times New Roman" w:eastAsia="Calibri" w:hAnsi="Times New Roman" w:cs="Times New Roman"/>
          <w:sz w:val="28"/>
          <w:szCs w:val="28"/>
        </w:rPr>
        <w:t>2018 № 25, от 21.12.2018 № 37</w:t>
      </w:r>
      <w:r w:rsidRPr="008348DC">
        <w:rPr>
          <w:rFonts w:ascii="Times New Roman" w:eastAsia="Calibri" w:hAnsi="Times New Roman" w:cs="Times New Roman"/>
          <w:sz w:val="28"/>
          <w:szCs w:val="28"/>
        </w:rPr>
        <w:t xml:space="preserve"> считать утратившими силу.</w:t>
      </w:r>
    </w:p>
    <w:p w:rsidR="008348DC" w:rsidRPr="008348DC" w:rsidRDefault="008348DC" w:rsidP="008348DC">
      <w:pPr>
        <w:tabs>
          <w:tab w:val="left" w:pos="709"/>
        </w:tabs>
        <w:suppressAutoHyphens/>
        <w:spacing w:after="0" w:line="240" w:lineRule="auto"/>
        <w:jc w:val="both"/>
        <w:rPr>
          <w:rFonts w:ascii="Times New Roman" w:eastAsia="Calibri" w:hAnsi="Times New Roman" w:cs="Times New Roman"/>
          <w:sz w:val="28"/>
          <w:szCs w:val="28"/>
        </w:rPr>
      </w:pPr>
      <w:r w:rsidRPr="00F00070">
        <w:rPr>
          <w:rFonts w:ascii="Times New Roman" w:eastAsia="Calibri" w:hAnsi="Times New Roman" w:cs="Times New Roman"/>
          <w:sz w:val="28"/>
          <w:szCs w:val="28"/>
        </w:rPr>
        <w:tab/>
        <w:t>3.</w:t>
      </w:r>
      <w:r w:rsidRPr="008348DC">
        <w:rPr>
          <w:rFonts w:ascii="Times New Roman" w:eastAsia="Calibri" w:hAnsi="Times New Roman" w:cs="Times New Roman"/>
          <w:sz w:val="28"/>
          <w:szCs w:val="28"/>
        </w:rPr>
        <w:t xml:space="preserve">В пункте 7 Порядка и условий предоставления в аренду имущества, включённого в перечень муниципального имущества, находящегося в собственности  муниципального образования </w:t>
      </w:r>
      <w:r w:rsidR="00040E07">
        <w:rPr>
          <w:rFonts w:ascii="Times New Roman" w:eastAsia="Times New Roman" w:hAnsi="Times New Roman" w:cs="Times New Roman"/>
          <w:sz w:val="28"/>
          <w:szCs w:val="28"/>
          <w:lang w:eastAsia="ru-RU"/>
        </w:rPr>
        <w:t>Николо-Александровский сельсовет</w:t>
      </w:r>
      <w:r w:rsidR="00040E07" w:rsidRPr="008348DC">
        <w:rPr>
          <w:rFonts w:ascii="Times New Roman" w:eastAsia="Calibri" w:hAnsi="Times New Roman" w:cs="Times New Roman"/>
          <w:sz w:val="28"/>
          <w:szCs w:val="28"/>
        </w:rPr>
        <w:t xml:space="preserve"> </w:t>
      </w:r>
      <w:r w:rsidR="00040E07">
        <w:rPr>
          <w:rFonts w:ascii="Times New Roman" w:eastAsia="Calibri" w:hAnsi="Times New Roman" w:cs="Times New Roman"/>
          <w:sz w:val="28"/>
          <w:szCs w:val="28"/>
        </w:rPr>
        <w:t>Октябрьского</w:t>
      </w:r>
      <w:r w:rsidRPr="008348DC">
        <w:rPr>
          <w:rFonts w:ascii="Times New Roman" w:eastAsia="Calibri" w:hAnsi="Times New Roman" w:cs="Times New Roman"/>
          <w:sz w:val="28"/>
          <w:szCs w:val="28"/>
        </w:rPr>
        <w:t xml:space="preserve"> район</w:t>
      </w:r>
      <w:r w:rsidR="00040E07">
        <w:rPr>
          <w:rFonts w:ascii="Times New Roman" w:eastAsia="Calibri" w:hAnsi="Times New Roman" w:cs="Times New Roman"/>
          <w:sz w:val="28"/>
          <w:szCs w:val="28"/>
        </w:rPr>
        <w:t>а</w:t>
      </w:r>
      <w:r w:rsidRPr="008348DC">
        <w:rPr>
          <w:rFonts w:ascii="Times New Roman" w:eastAsia="Calibri" w:hAnsi="Times New Roman" w:cs="Times New Roman"/>
          <w:sz w:val="28"/>
          <w:szCs w:val="28"/>
        </w:rPr>
        <w:t xml:space="preserve"> Амурской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2) к Решению слова «</w:t>
      </w:r>
      <w:r w:rsidR="00040E07">
        <w:rPr>
          <w:rFonts w:ascii="Times New Roman" w:eastAsia="Times New Roman" w:hAnsi="Times New Roman" w:cs="Times New Roman"/>
          <w:sz w:val="28"/>
          <w:szCs w:val="28"/>
          <w:lang w:eastAsia="ru-RU"/>
        </w:rPr>
        <w:t>А</w:t>
      </w:r>
      <w:r w:rsidR="00040E07" w:rsidRPr="008348DC">
        <w:rPr>
          <w:rFonts w:ascii="Times New Roman" w:eastAsia="Times New Roman" w:hAnsi="Times New Roman" w:cs="Times New Roman"/>
          <w:sz w:val="28"/>
          <w:szCs w:val="28"/>
          <w:lang w:eastAsia="ru-RU"/>
        </w:rPr>
        <w:t>дминистрация</w:t>
      </w:r>
      <w:r w:rsidR="00040E07">
        <w:rPr>
          <w:rFonts w:ascii="Times New Roman" w:eastAsia="Times New Roman" w:hAnsi="Times New Roman" w:cs="Times New Roman"/>
          <w:sz w:val="28"/>
          <w:szCs w:val="28"/>
          <w:lang w:eastAsia="ru-RU"/>
        </w:rPr>
        <w:t xml:space="preserve"> Николо-Александровского сельсовета</w:t>
      </w:r>
      <w:r w:rsidRPr="008348DC">
        <w:rPr>
          <w:rFonts w:ascii="Times New Roman" w:eastAsia="Calibri" w:hAnsi="Times New Roman" w:cs="Times New Roman"/>
          <w:sz w:val="28"/>
          <w:szCs w:val="28"/>
        </w:rPr>
        <w:t xml:space="preserve"> в течение 40 дней» заменить на слова «</w:t>
      </w:r>
      <w:r w:rsidR="00040E07">
        <w:rPr>
          <w:rFonts w:ascii="Times New Roman" w:eastAsia="Times New Roman" w:hAnsi="Times New Roman" w:cs="Times New Roman"/>
          <w:sz w:val="28"/>
          <w:szCs w:val="28"/>
          <w:lang w:eastAsia="ru-RU"/>
        </w:rPr>
        <w:t>А</w:t>
      </w:r>
      <w:r w:rsidR="00040E07" w:rsidRPr="008348DC">
        <w:rPr>
          <w:rFonts w:ascii="Times New Roman" w:eastAsia="Times New Roman" w:hAnsi="Times New Roman" w:cs="Times New Roman"/>
          <w:sz w:val="28"/>
          <w:szCs w:val="28"/>
          <w:lang w:eastAsia="ru-RU"/>
        </w:rPr>
        <w:t>дминистрация</w:t>
      </w:r>
      <w:r w:rsidR="00040E07">
        <w:rPr>
          <w:rFonts w:ascii="Times New Roman" w:eastAsia="Times New Roman" w:hAnsi="Times New Roman" w:cs="Times New Roman"/>
          <w:sz w:val="28"/>
          <w:szCs w:val="28"/>
          <w:lang w:eastAsia="ru-RU"/>
        </w:rPr>
        <w:t xml:space="preserve"> Николо-Александровского сельсовета</w:t>
      </w:r>
      <w:r w:rsidRPr="008348DC">
        <w:rPr>
          <w:rFonts w:ascii="Times New Roman" w:eastAsia="Calibri" w:hAnsi="Times New Roman" w:cs="Times New Roman"/>
          <w:sz w:val="28"/>
          <w:szCs w:val="28"/>
        </w:rPr>
        <w:t xml:space="preserve"> в течение 10 дней».</w:t>
      </w:r>
    </w:p>
    <w:p w:rsidR="008348DC" w:rsidRPr="008348DC" w:rsidRDefault="008348DC" w:rsidP="008348DC">
      <w:pPr>
        <w:tabs>
          <w:tab w:val="left" w:pos="993"/>
        </w:tabs>
        <w:spacing w:after="200" w:line="276" w:lineRule="auto"/>
        <w:jc w:val="both"/>
        <w:rPr>
          <w:rFonts w:ascii="Times New Roman" w:eastAsia="Calibri" w:hAnsi="Times New Roman" w:cs="Times New Roman"/>
          <w:sz w:val="28"/>
          <w:szCs w:val="28"/>
        </w:rPr>
      </w:pPr>
    </w:p>
    <w:p w:rsidR="00040E07" w:rsidRPr="004A686C" w:rsidRDefault="00040E07" w:rsidP="00040E07">
      <w:pPr>
        <w:spacing w:after="0" w:line="276" w:lineRule="auto"/>
        <w:jc w:val="both"/>
        <w:rPr>
          <w:rFonts w:ascii="Times New Roman" w:eastAsia="Calibri" w:hAnsi="Times New Roman" w:cs="Times New Roman"/>
          <w:sz w:val="28"/>
          <w:szCs w:val="28"/>
        </w:rPr>
      </w:pPr>
      <w:r w:rsidRPr="004A686C">
        <w:rPr>
          <w:rFonts w:ascii="Times New Roman" w:eastAsia="Calibri" w:hAnsi="Times New Roman" w:cs="Times New Roman"/>
          <w:sz w:val="28"/>
          <w:szCs w:val="28"/>
        </w:rPr>
        <w:t xml:space="preserve">Председатель Николо-Александровского </w:t>
      </w:r>
    </w:p>
    <w:p w:rsidR="00040E07" w:rsidRPr="004A686C" w:rsidRDefault="00040E07" w:rsidP="00040E07">
      <w:pPr>
        <w:spacing w:after="0" w:line="276" w:lineRule="auto"/>
        <w:jc w:val="both"/>
        <w:rPr>
          <w:rFonts w:ascii="Times New Roman" w:eastAsia="Calibri" w:hAnsi="Times New Roman" w:cs="Times New Roman"/>
          <w:sz w:val="28"/>
          <w:szCs w:val="28"/>
        </w:rPr>
      </w:pPr>
      <w:proofErr w:type="gramStart"/>
      <w:r w:rsidRPr="004A686C">
        <w:rPr>
          <w:rFonts w:ascii="Times New Roman" w:eastAsia="Calibri" w:hAnsi="Times New Roman" w:cs="Times New Roman"/>
          <w:sz w:val="28"/>
          <w:szCs w:val="28"/>
        </w:rPr>
        <w:t>сельского</w:t>
      </w:r>
      <w:proofErr w:type="gramEnd"/>
      <w:r w:rsidRPr="004A686C">
        <w:rPr>
          <w:rFonts w:ascii="Times New Roman" w:eastAsia="Calibri" w:hAnsi="Times New Roman" w:cs="Times New Roman"/>
          <w:sz w:val="28"/>
          <w:szCs w:val="28"/>
        </w:rPr>
        <w:t xml:space="preserve"> Совета народных депутатов                                            А.П.</w:t>
      </w:r>
      <w:r w:rsidR="002B7614">
        <w:rPr>
          <w:rFonts w:ascii="Times New Roman" w:eastAsia="Calibri" w:hAnsi="Times New Roman" w:cs="Times New Roman"/>
          <w:sz w:val="28"/>
          <w:szCs w:val="28"/>
        </w:rPr>
        <w:t xml:space="preserve"> </w:t>
      </w:r>
      <w:bookmarkStart w:id="0" w:name="_GoBack"/>
      <w:bookmarkEnd w:id="0"/>
      <w:proofErr w:type="spellStart"/>
      <w:r w:rsidRPr="004A686C">
        <w:rPr>
          <w:rFonts w:ascii="Times New Roman" w:eastAsia="Calibri" w:hAnsi="Times New Roman" w:cs="Times New Roman"/>
          <w:sz w:val="28"/>
          <w:szCs w:val="28"/>
        </w:rPr>
        <w:t>Тесля</w:t>
      </w:r>
      <w:proofErr w:type="spellEnd"/>
    </w:p>
    <w:p w:rsidR="00040E07" w:rsidRDefault="00040E07" w:rsidP="00040E07">
      <w:pPr>
        <w:spacing w:after="0" w:line="276" w:lineRule="auto"/>
        <w:jc w:val="both"/>
        <w:rPr>
          <w:rFonts w:ascii="Times New Roman" w:eastAsia="Calibri" w:hAnsi="Times New Roman" w:cs="Times New Roman"/>
          <w:sz w:val="28"/>
          <w:szCs w:val="28"/>
        </w:rPr>
      </w:pPr>
    </w:p>
    <w:p w:rsidR="00040E07" w:rsidRPr="004A686C" w:rsidRDefault="00040E07" w:rsidP="00040E07">
      <w:pPr>
        <w:spacing w:after="0" w:line="276" w:lineRule="auto"/>
        <w:jc w:val="both"/>
        <w:rPr>
          <w:rFonts w:ascii="Times New Roman" w:eastAsia="Calibri" w:hAnsi="Times New Roman" w:cs="Times New Roman"/>
          <w:sz w:val="28"/>
          <w:szCs w:val="28"/>
        </w:rPr>
      </w:pPr>
      <w:r w:rsidRPr="004A686C">
        <w:rPr>
          <w:rFonts w:ascii="Times New Roman" w:eastAsia="Calibri" w:hAnsi="Times New Roman" w:cs="Times New Roman"/>
          <w:sz w:val="28"/>
          <w:szCs w:val="28"/>
        </w:rPr>
        <w:t xml:space="preserve">Глава Николо-Александровского </w:t>
      </w:r>
    </w:p>
    <w:p w:rsidR="00040E07" w:rsidRPr="004A686C" w:rsidRDefault="00040E07" w:rsidP="00040E07">
      <w:pPr>
        <w:spacing w:after="0" w:line="276" w:lineRule="auto"/>
        <w:jc w:val="both"/>
        <w:rPr>
          <w:rFonts w:ascii="Times New Roman" w:eastAsia="Calibri" w:hAnsi="Times New Roman" w:cs="Times New Roman"/>
          <w:sz w:val="28"/>
          <w:szCs w:val="28"/>
        </w:rPr>
      </w:pPr>
      <w:proofErr w:type="gramStart"/>
      <w:r w:rsidRPr="004A686C">
        <w:rPr>
          <w:rFonts w:ascii="Times New Roman" w:eastAsia="Calibri" w:hAnsi="Times New Roman" w:cs="Times New Roman"/>
          <w:sz w:val="28"/>
          <w:szCs w:val="28"/>
        </w:rPr>
        <w:t>сельсовета</w:t>
      </w:r>
      <w:proofErr w:type="gramEnd"/>
      <w:r w:rsidRPr="004A686C">
        <w:rPr>
          <w:rFonts w:ascii="Times New Roman" w:eastAsia="Calibri" w:hAnsi="Times New Roman" w:cs="Times New Roman"/>
          <w:sz w:val="28"/>
          <w:szCs w:val="28"/>
        </w:rPr>
        <w:t xml:space="preserve">                                                                                          Г.Т.Панарина                </w:t>
      </w:r>
    </w:p>
    <w:p w:rsidR="008348DC" w:rsidRPr="00F00070" w:rsidRDefault="008348DC" w:rsidP="008348DC">
      <w:pPr>
        <w:tabs>
          <w:tab w:val="left" w:pos="709"/>
        </w:tabs>
        <w:spacing w:after="0" w:line="240" w:lineRule="auto"/>
        <w:jc w:val="center"/>
        <w:rPr>
          <w:rFonts w:ascii="Times New Roman" w:eastAsia="Calibri" w:hAnsi="Times New Roman" w:cs="Times New Roman"/>
          <w:sz w:val="28"/>
          <w:szCs w:val="28"/>
        </w:rPr>
      </w:pPr>
    </w:p>
    <w:p w:rsidR="008348DC" w:rsidRPr="00F00070" w:rsidRDefault="008348DC" w:rsidP="008348DC">
      <w:pPr>
        <w:tabs>
          <w:tab w:val="left" w:pos="709"/>
        </w:tabs>
        <w:spacing w:after="0" w:line="240" w:lineRule="auto"/>
        <w:jc w:val="center"/>
        <w:rPr>
          <w:rFonts w:ascii="Times New Roman" w:eastAsia="Calibri" w:hAnsi="Times New Roman" w:cs="Times New Roman"/>
          <w:sz w:val="28"/>
          <w:szCs w:val="28"/>
        </w:rPr>
      </w:pPr>
    </w:p>
    <w:p w:rsidR="00A46EA1" w:rsidRDefault="002B7614"/>
    <w:sectPr w:rsidR="00A46EA1" w:rsidSect="008348D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D3B0C"/>
    <w:multiLevelType w:val="hybridMultilevel"/>
    <w:tmpl w:val="C43E362E"/>
    <w:lvl w:ilvl="0" w:tplc="CE5884CE">
      <w:start w:val="1"/>
      <w:numFmt w:val="decimal"/>
      <w:lvlText w:val="%1."/>
      <w:lvlJc w:val="left"/>
      <w:pPr>
        <w:ind w:left="1429" w:hanging="360"/>
      </w:pPr>
      <w:rPr>
        <w:rFonts w:hint="default"/>
        <w:b/>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79C2ACF"/>
    <w:multiLevelType w:val="hybridMultilevel"/>
    <w:tmpl w:val="2F960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40E07"/>
    <w:rsid w:val="002B7614"/>
    <w:rsid w:val="0052571F"/>
    <w:rsid w:val="00804526"/>
    <w:rsid w:val="008348DC"/>
    <w:rsid w:val="008C2C61"/>
    <w:rsid w:val="00F00070"/>
    <w:rsid w:val="00F66584"/>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A183D-5CB4-45BC-A5AD-70CCC395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48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48DC"/>
    <w:pPr>
      <w:ind w:left="720"/>
      <w:contextualSpacing/>
    </w:pPr>
  </w:style>
  <w:style w:type="paragraph" w:styleId="a5">
    <w:name w:val="Balloon Text"/>
    <w:basedOn w:val="a"/>
    <w:link w:val="a6"/>
    <w:uiPriority w:val="99"/>
    <w:semiHidden/>
    <w:unhideWhenUsed/>
    <w:rsid w:val="002B76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7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4B1037CE98212C86095C40414B60266ACB2A66A4D7117E67BA619E93459C476D1C3B817C7A41463a8BF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2019-09-18T00:10:00Z</cp:lastPrinted>
  <dcterms:created xsi:type="dcterms:W3CDTF">2019-09-10T00:15:00Z</dcterms:created>
  <dcterms:modified xsi:type="dcterms:W3CDTF">2019-09-18T00:11:00Z</dcterms:modified>
</cp:coreProperties>
</file>